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8368D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</w:t>
            </w:r>
            <w:r w:rsidRPr="002660D4">
              <w:rPr>
                <w:rFonts w:ascii="Arial" w:hAnsi="Arial" w:cs="Arial"/>
                <w:bCs/>
                <w:sz w:val="18"/>
                <w:szCs w:val="18"/>
                <w:lang w:val="es-ES"/>
              </w:rPr>
              <w:t>Cuerpo de Ingenieros y Arquitectos Técnicos, Escala Arquitectura Técnica, de Administración Especial, Grupo A, Subgrupo A2,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368D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368D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68D5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27</cp:revision>
  <cp:lastPrinted>2014-09-17T15:59:00Z</cp:lastPrinted>
  <dcterms:created xsi:type="dcterms:W3CDTF">2022-09-26T11:20:00Z</dcterms:created>
  <dcterms:modified xsi:type="dcterms:W3CDTF">2023-04-19T10:37:00Z</dcterms:modified>
</cp:coreProperties>
</file>