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B24FB7" w:rsidP="00A164B6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E40D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Acceso a plazas de la categoría profesional de </w:t>
            </w:r>
            <w:r w:rsidRPr="00F81BB7">
              <w:rPr>
                <w:rFonts w:ascii="Arial" w:hAnsi="Arial" w:cs="Arial"/>
                <w:bCs/>
                <w:sz w:val="18"/>
                <w:szCs w:val="18"/>
                <w:lang w:val="es-ES"/>
              </w:rPr>
              <w:t>Técnico de Cocina (Grupo III, Nivel 5, Área B)</w:t>
            </w:r>
            <w:r w:rsidRPr="00CE40D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B24FB7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B24FB7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B5E09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64B6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4FB7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30</cp:revision>
  <cp:lastPrinted>2014-09-17T15:59:00Z</cp:lastPrinted>
  <dcterms:created xsi:type="dcterms:W3CDTF">2022-09-26T11:20:00Z</dcterms:created>
  <dcterms:modified xsi:type="dcterms:W3CDTF">2023-11-08T11:44:00Z</dcterms:modified>
</cp:coreProperties>
</file>