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8C2BBF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Especialista I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I, Especialidad Investigación Agropecuaria, Alimentaria y Medioambiental,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B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C2BB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C2BB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2BBF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2024-04-18T09:48:00Z</dcterms:modified>
</cp:coreProperties>
</file>