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5129" w:rsidRDefault="00C05129">
      <w:pPr>
        <w:rPr>
          <w:rFonts w:ascii="Arial" w:eastAsia="Times New Roman" w:hAnsi="Arial" w:cs="Arial"/>
          <w:b/>
          <w:color w:val="2F5496"/>
          <w:sz w:val="24"/>
          <w:szCs w:val="24"/>
          <w:lang w:val="es-ES_tradnl" w:eastAsia="es-ES_tradnl"/>
        </w:rPr>
        <w:sectPr w:rsidR="00C05129" w:rsidSect="00C05129">
          <w:footerReference w:type="even" r:id="rId8"/>
          <w:footerReference w:type="default" r:id="rId9"/>
          <w:pgSz w:w="11906" w:h="16838"/>
          <w:pgMar w:top="0" w:right="1418" w:bottom="1418" w:left="1701" w:header="709" w:footer="709" w:gutter="0"/>
          <w:cols w:space="708"/>
          <w:docGrid w:linePitch="360"/>
        </w:sectPr>
      </w:pPr>
      <w:bookmarkStart w:id="0" w:name="_Toc98333296"/>
      <w:bookmarkStart w:id="1" w:name="_Toc64153802"/>
      <w:r>
        <w:rPr>
          <w:rFonts w:ascii="Arial" w:eastAsia="Times New Roman" w:hAnsi="Arial" w:cs="Arial"/>
          <w:b/>
          <w:noProof/>
          <w:color w:val="2F5496"/>
          <w:sz w:val="24"/>
          <w:szCs w:val="24"/>
          <w:lang w:eastAsia="es-ES"/>
        </w:rPr>
        <w:drawing>
          <wp:anchor distT="0" distB="0" distL="114300" distR="114300" simplePos="0" relativeHeight="251658240" behindDoc="0" locked="0" layoutInCell="1" allowOverlap="1">
            <wp:simplePos x="0" y="0"/>
            <wp:positionH relativeFrom="column">
              <wp:posOffset>-1080370</wp:posOffset>
            </wp:positionH>
            <wp:positionV relativeFrom="paragraph">
              <wp:posOffset>91</wp:posOffset>
            </wp:positionV>
            <wp:extent cx="7581600" cy="10717200"/>
            <wp:effectExtent l="0" t="0" r="635" b="1905"/>
            <wp:wrapThrough wrapText="bothSides">
              <wp:wrapPolygon edited="0">
                <wp:start x="0" y="0"/>
                <wp:lineTo x="0" y="21578"/>
                <wp:lineTo x="21566" y="21578"/>
                <wp:lineTo x="21566" y="0"/>
                <wp:lineTo x="0" y="0"/>
              </wp:wrapPolygon>
            </wp:wrapThrough>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1600" cy="10717200"/>
                    </a:xfrm>
                    <a:prstGeom prst="rect">
                      <a:avLst/>
                    </a:prstGeom>
                  </pic:spPr>
                </pic:pic>
              </a:graphicData>
            </a:graphic>
            <wp14:sizeRelH relativeFrom="page">
              <wp14:pctWidth>0</wp14:pctWidth>
            </wp14:sizeRelH>
            <wp14:sizeRelV relativeFrom="page">
              <wp14:pctHeight>0</wp14:pctHeight>
            </wp14:sizeRelV>
          </wp:anchor>
        </w:drawing>
      </w:r>
    </w:p>
    <w:p w:rsidR="00CF200C" w:rsidRDefault="00EB2CF0">
      <w:pPr>
        <w:rPr>
          <w:rFonts w:ascii="Arial" w:eastAsia="Times New Roman" w:hAnsi="Arial" w:cs="Arial"/>
          <w:b/>
          <w:color w:val="2F5496"/>
          <w:sz w:val="24"/>
          <w:szCs w:val="24"/>
          <w:lang w:val="es-ES_tradnl" w:eastAsia="es-ES_tradnl"/>
        </w:rPr>
        <w:sectPr w:rsidR="00CF200C" w:rsidSect="00CF200C">
          <w:pgSz w:w="11906" w:h="16838"/>
          <w:pgMar w:top="0" w:right="1418" w:bottom="1418" w:left="1701" w:header="709" w:footer="709" w:gutter="0"/>
          <w:cols w:space="708"/>
          <w:docGrid w:linePitch="360"/>
        </w:sectPr>
      </w:pPr>
      <w:r>
        <w:rPr>
          <w:rFonts w:ascii="Arial" w:eastAsia="Times New Roman" w:hAnsi="Arial" w:cs="Arial"/>
          <w:b/>
          <w:noProof/>
          <w:color w:val="2F5496"/>
          <w:sz w:val="24"/>
          <w:szCs w:val="24"/>
          <w:lang w:eastAsia="es-ES"/>
        </w:rPr>
        <w:lastRenderedPageBreak/>
        <w:drawing>
          <wp:anchor distT="0" distB="0" distL="114300" distR="114300" simplePos="0" relativeHeight="251659264" behindDoc="1" locked="0" layoutInCell="1" allowOverlap="1">
            <wp:simplePos x="0" y="0"/>
            <wp:positionH relativeFrom="column">
              <wp:posOffset>-1080135</wp:posOffset>
            </wp:positionH>
            <wp:positionV relativeFrom="paragraph">
              <wp:posOffset>0</wp:posOffset>
            </wp:positionV>
            <wp:extent cx="7569200" cy="10708005"/>
            <wp:effectExtent l="0" t="0" r="0" b="0"/>
            <wp:wrapTight wrapText="bothSides">
              <wp:wrapPolygon edited="0">
                <wp:start x="4566" y="0"/>
                <wp:lineTo x="2011" y="922"/>
                <wp:lineTo x="598" y="1537"/>
                <wp:lineTo x="0" y="1845"/>
                <wp:lineTo x="0" y="3535"/>
                <wp:lineTo x="761" y="3689"/>
                <wp:lineTo x="761" y="3843"/>
                <wp:lineTo x="8535" y="4304"/>
                <wp:lineTo x="10764" y="4304"/>
                <wp:lineTo x="1413" y="4458"/>
                <wp:lineTo x="1305" y="4727"/>
                <wp:lineTo x="2664" y="4919"/>
                <wp:lineTo x="2664" y="5995"/>
                <wp:lineTo x="4893" y="6148"/>
                <wp:lineTo x="1359" y="6187"/>
                <wp:lineTo x="1305" y="6456"/>
                <wp:lineTo x="2664" y="6763"/>
                <wp:lineTo x="2609" y="7301"/>
                <wp:lineTo x="3914" y="7416"/>
                <wp:lineTo x="3914" y="12066"/>
                <wp:lineTo x="4403" y="12297"/>
                <wp:lineTo x="5219" y="12297"/>
                <wp:lineTo x="3914" y="12643"/>
                <wp:lineTo x="3914" y="13373"/>
                <wp:lineTo x="4023" y="13526"/>
                <wp:lineTo x="1305" y="13949"/>
                <wp:lineTo x="1305" y="14180"/>
                <wp:lineTo x="2555" y="14756"/>
                <wp:lineTo x="2609" y="14987"/>
                <wp:lineTo x="3425" y="15371"/>
                <wp:lineTo x="3914" y="15371"/>
                <wp:lineTo x="2664" y="15525"/>
                <wp:lineTo x="2664" y="15832"/>
                <wp:lineTo x="4295" y="15986"/>
                <wp:lineTo x="3588" y="16024"/>
                <wp:lineTo x="1305" y="16485"/>
                <wp:lineTo x="1250" y="17062"/>
                <wp:lineTo x="3751" y="17215"/>
                <wp:lineTo x="3860" y="18330"/>
                <wp:lineTo x="1359" y="18560"/>
                <wp:lineTo x="1359" y="18906"/>
                <wp:lineTo x="19570" y="18983"/>
                <wp:lineTo x="19842" y="18983"/>
                <wp:lineTo x="20875" y="18906"/>
                <wp:lineTo x="20658" y="18560"/>
                <wp:lineTo x="15602" y="18445"/>
                <wp:lineTo x="15548" y="18022"/>
                <wp:lineTo x="9622" y="17830"/>
                <wp:lineTo x="10764" y="17215"/>
                <wp:lineTo x="20821" y="17215"/>
                <wp:lineTo x="20766" y="16831"/>
                <wp:lineTo x="8100" y="16601"/>
                <wp:lineTo x="13319" y="16601"/>
                <wp:lineTo x="20821" y="16255"/>
                <wp:lineTo x="20930" y="15179"/>
                <wp:lineTo x="20495" y="15102"/>
                <wp:lineTo x="17015" y="14756"/>
                <wp:lineTo x="20821" y="14641"/>
                <wp:lineTo x="20712" y="14295"/>
                <wp:lineTo x="12721" y="14064"/>
                <wp:lineTo x="12177" y="13911"/>
                <wp:lineTo x="10383" y="13526"/>
                <wp:lineTo x="16037" y="13296"/>
                <wp:lineTo x="16037" y="12988"/>
                <wp:lineTo x="14352" y="12912"/>
                <wp:lineTo x="14352" y="12643"/>
                <wp:lineTo x="11416" y="12297"/>
                <wp:lineTo x="16961" y="12143"/>
                <wp:lineTo x="16961" y="11759"/>
                <wp:lineTo x="12232" y="11682"/>
                <wp:lineTo x="15221" y="11298"/>
                <wp:lineTo x="15276" y="11067"/>
                <wp:lineTo x="12449" y="10452"/>
                <wp:lineTo x="15439" y="10106"/>
                <wp:lineTo x="15602" y="9837"/>
                <wp:lineTo x="15058" y="9837"/>
                <wp:lineTo x="12612" y="9223"/>
                <wp:lineTo x="16635" y="8877"/>
                <wp:lineTo x="16798" y="8685"/>
                <wp:lineTo x="16309" y="8608"/>
                <wp:lineTo x="16744" y="7993"/>
                <wp:lineTo x="16798" y="7801"/>
                <wp:lineTo x="12721" y="7378"/>
                <wp:lineTo x="19462" y="7378"/>
                <wp:lineTo x="20658" y="7301"/>
                <wp:lineTo x="20658" y="6610"/>
                <wp:lineTo x="18701" y="6494"/>
                <wp:lineTo x="10764" y="6148"/>
                <wp:lineTo x="17885" y="6148"/>
                <wp:lineTo x="20603" y="5995"/>
                <wp:lineTo x="20603" y="4842"/>
                <wp:lineTo x="10818" y="4304"/>
                <wp:lineTo x="13101" y="3689"/>
                <wp:lineTo x="13373" y="3689"/>
                <wp:lineTo x="16852" y="3113"/>
                <wp:lineTo x="19734" y="2459"/>
                <wp:lineTo x="21528" y="2190"/>
                <wp:lineTo x="21528" y="0"/>
                <wp:lineTo x="4566"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ICE INFORME ANUAL 2022_Mesa de trabajo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9200" cy="10708005"/>
                    </a:xfrm>
                    <a:prstGeom prst="rect">
                      <a:avLst/>
                    </a:prstGeom>
                  </pic:spPr>
                </pic:pic>
              </a:graphicData>
            </a:graphic>
            <wp14:sizeRelH relativeFrom="margin">
              <wp14:pctWidth>0</wp14:pctWidth>
            </wp14:sizeRelH>
            <wp14:sizeRelV relativeFrom="margin">
              <wp14:pctHeight>0</wp14:pctHeight>
            </wp14:sizeRelV>
          </wp:anchor>
        </w:drawing>
      </w:r>
    </w:p>
    <w:p w:rsidR="00D824D1" w:rsidRDefault="00B81C72" w:rsidP="00FF79E8">
      <w:pPr>
        <w:keepNext/>
        <w:keepLines/>
        <w:numPr>
          <w:ilvl w:val="1"/>
          <w:numId w:val="0"/>
        </w:numPr>
        <w:spacing w:before="40" w:after="0" w:line="240" w:lineRule="auto"/>
        <w:ind w:left="576" w:hanging="576"/>
        <w:outlineLvl w:val="1"/>
        <w:rPr>
          <w:rFonts w:ascii="Arial" w:eastAsia="Times New Roman" w:hAnsi="Arial" w:cs="Arial"/>
          <w:b/>
          <w:color w:val="2F5496"/>
          <w:sz w:val="24"/>
          <w:szCs w:val="24"/>
          <w:lang w:val="es-ES_tradnl" w:eastAsia="es-ES_tradnl"/>
        </w:rPr>
      </w:pPr>
      <w:r>
        <w:rPr>
          <w:rFonts w:ascii="Arial" w:eastAsia="Times New Roman" w:hAnsi="Arial" w:cs="Arial"/>
          <w:b/>
          <w:noProof/>
          <w:color w:val="2F5496"/>
          <w:sz w:val="24"/>
          <w:szCs w:val="24"/>
          <w:lang w:eastAsia="es-ES"/>
        </w:rPr>
        <w:lastRenderedPageBreak/>
        <w:drawing>
          <wp:inline distT="0" distB="0" distL="0" distR="0" wp14:anchorId="0840027D" wp14:editId="1AAC1C4D">
            <wp:extent cx="2700000" cy="1483200"/>
            <wp:effectExtent l="0" t="0" r="571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0000" cy="1483200"/>
                    </a:xfrm>
                    <a:prstGeom prst="rect">
                      <a:avLst/>
                    </a:prstGeom>
                  </pic:spPr>
                </pic:pic>
              </a:graphicData>
            </a:graphic>
          </wp:inline>
        </w:drawing>
      </w:r>
    </w:p>
    <w:p w:rsidR="00FF79E8" w:rsidRPr="00FF79E8" w:rsidRDefault="00D824D1" w:rsidP="00FF79E8">
      <w:pPr>
        <w:keepNext/>
        <w:keepLines/>
        <w:numPr>
          <w:ilvl w:val="1"/>
          <w:numId w:val="0"/>
        </w:numPr>
        <w:spacing w:before="40" w:after="0" w:line="240" w:lineRule="auto"/>
        <w:ind w:left="576" w:hanging="576"/>
        <w:outlineLvl w:val="1"/>
        <w:rPr>
          <w:rFonts w:ascii="Arial" w:eastAsia="Times New Roman" w:hAnsi="Arial" w:cs="Arial"/>
          <w:b/>
          <w:color w:val="2F5496"/>
          <w:sz w:val="24"/>
          <w:szCs w:val="24"/>
          <w:lang w:val="es-ES_tradnl" w:eastAsia="es-ES_tradnl"/>
        </w:rPr>
      </w:pPr>
      <w:r>
        <w:rPr>
          <w:rFonts w:ascii="Arial" w:eastAsia="Times New Roman" w:hAnsi="Arial" w:cs="Arial"/>
          <w:b/>
          <w:color w:val="2F5496"/>
          <w:sz w:val="24"/>
          <w:szCs w:val="24"/>
          <w:lang w:val="es-ES_tradnl" w:eastAsia="es-ES_tradnl"/>
        </w:rPr>
        <w:t xml:space="preserve">1.1 </w:t>
      </w:r>
      <w:r w:rsidR="00FF79E8" w:rsidRPr="00FF79E8">
        <w:rPr>
          <w:rFonts w:ascii="Arial" w:eastAsia="Times New Roman" w:hAnsi="Arial" w:cs="Arial"/>
          <w:b/>
          <w:color w:val="2F5496"/>
          <w:sz w:val="24"/>
          <w:szCs w:val="24"/>
          <w:lang w:val="es-ES_tradnl" w:eastAsia="es-ES_tradnl"/>
        </w:rPr>
        <w:t>Justificación del informe.</w:t>
      </w:r>
      <w:bookmarkEnd w:id="0"/>
      <w:bookmarkEnd w:id="1"/>
    </w:p>
    <w:p w:rsidR="00FF79E8" w:rsidRPr="00D824D1" w:rsidRDefault="00FF79E8" w:rsidP="00FF79E8">
      <w:pPr>
        <w:widowControl w:val="0"/>
        <w:suppressAutoHyphens/>
        <w:autoSpaceDN w:val="0"/>
        <w:spacing w:before="240" w:after="0" w:line="240" w:lineRule="auto"/>
        <w:jc w:val="both"/>
        <w:rPr>
          <w:rFonts w:ascii="Arial" w:eastAsia="SimSun" w:hAnsi="Arial" w:cs="Arial"/>
          <w:kern w:val="3"/>
          <w:lang w:eastAsia="zh-CN" w:bidi="hi-IN"/>
        </w:rPr>
      </w:pPr>
      <w:r w:rsidRPr="00D824D1">
        <w:rPr>
          <w:rFonts w:ascii="Arial" w:eastAsia="SimSun" w:hAnsi="Arial" w:cs="Arial"/>
          <w:kern w:val="3"/>
          <w:lang w:eastAsia="zh-CN" w:bidi="hi-IN"/>
        </w:rPr>
        <w:t xml:space="preserve">La </w:t>
      </w:r>
      <w:r w:rsidRPr="00D824D1">
        <w:rPr>
          <w:rFonts w:ascii="Arial" w:eastAsia="SimSun" w:hAnsi="Arial" w:cs="Arial"/>
          <w:kern w:val="3"/>
          <w:lang w:val="es-ES_tradnl" w:eastAsia="zh-CN" w:bidi="hi-IN"/>
        </w:rPr>
        <w:t xml:space="preserve">Ley 10/2019, de 10 de abril, de Transparencia y de Participación de la Comunidad de Madrid (en adelante, LTPCM), establece en su artículo 28.1 que, en el ámbito de la Administración pública de la Comunidad de Madrid y de su sector público, la Oficina de Coordinación de la Transparencia se encargará de elaborar un informe anual </w:t>
      </w:r>
      <w:r w:rsidRPr="00D824D1">
        <w:rPr>
          <w:rFonts w:ascii="Arial" w:eastAsia="SimSun" w:hAnsi="Arial" w:cs="Arial"/>
          <w:kern w:val="3"/>
          <w:lang w:eastAsia="zh-CN" w:bidi="hi-IN"/>
        </w:rPr>
        <w:t>sobre el cumplimiento de las obligaciones en materia de publicidad activa y de derecho de acceso.</w:t>
      </w:r>
    </w:p>
    <w:p w:rsidR="00FF79E8" w:rsidRPr="00D824D1" w:rsidRDefault="00FF79E8" w:rsidP="002B4BC7">
      <w:pPr>
        <w:widowControl w:val="0"/>
        <w:suppressAutoHyphens/>
        <w:autoSpaceDN w:val="0"/>
        <w:spacing w:before="240" w:after="0" w:line="240" w:lineRule="auto"/>
        <w:jc w:val="both"/>
        <w:rPr>
          <w:rFonts w:ascii="Arial" w:eastAsia="SimSun" w:hAnsi="Arial" w:cs="Arial"/>
          <w:kern w:val="3"/>
          <w:lang w:eastAsia="zh-CN" w:bidi="hi-IN"/>
        </w:rPr>
      </w:pPr>
      <w:r w:rsidRPr="00D824D1">
        <w:rPr>
          <w:rFonts w:ascii="Arial" w:eastAsia="SimSun" w:hAnsi="Arial" w:cs="Arial"/>
          <w:kern w:val="3"/>
          <w:lang w:eastAsia="zh-CN" w:bidi="hi-IN"/>
        </w:rPr>
        <w:t>Como se ha venido haciendo en los años precedentes, procede ahora realizar un análisis so</w:t>
      </w:r>
      <w:r w:rsidR="0014226A">
        <w:rPr>
          <w:rFonts w:ascii="Arial" w:eastAsia="SimSun" w:hAnsi="Arial" w:cs="Arial"/>
          <w:kern w:val="3"/>
          <w:lang w:eastAsia="zh-CN" w:bidi="hi-IN"/>
        </w:rPr>
        <w:t>bre la aplicación de la citada l</w:t>
      </w:r>
      <w:r w:rsidRPr="00D824D1">
        <w:rPr>
          <w:rFonts w:ascii="Arial" w:eastAsia="SimSun" w:hAnsi="Arial" w:cs="Arial"/>
          <w:kern w:val="3"/>
          <w:lang w:eastAsia="zh-CN" w:bidi="hi-IN"/>
        </w:rPr>
        <w:t>ey durante el año 2022 tanto desde la vertiente de la publicidad activa como en relación al ejercicio del derecho de acceso a la información pública reconocido a los ciudadanos.</w:t>
      </w:r>
    </w:p>
    <w:p w:rsidR="00FF79E8" w:rsidRPr="00FF79E8" w:rsidRDefault="00FF79E8" w:rsidP="00FF79E8">
      <w:pPr>
        <w:widowControl w:val="0"/>
        <w:suppressAutoHyphens/>
        <w:autoSpaceDN w:val="0"/>
        <w:spacing w:before="240" w:after="0" w:line="240" w:lineRule="auto"/>
        <w:jc w:val="both"/>
        <w:rPr>
          <w:rFonts w:ascii="Arial" w:eastAsia="SimSun" w:hAnsi="Arial" w:cs="Arial"/>
          <w:kern w:val="3"/>
          <w:sz w:val="20"/>
          <w:szCs w:val="24"/>
          <w:lang w:eastAsia="zh-CN" w:bidi="hi-IN"/>
        </w:rPr>
      </w:pPr>
    </w:p>
    <w:p w:rsidR="00FF79E8" w:rsidRPr="00FF79E8" w:rsidRDefault="00D824D1" w:rsidP="00FF79E8">
      <w:pPr>
        <w:keepNext/>
        <w:keepLines/>
        <w:numPr>
          <w:ilvl w:val="1"/>
          <w:numId w:val="0"/>
        </w:numPr>
        <w:spacing w:before="40" w:after="0" w:line="240" w:lineRule="auto"/>
        <w:ind w:left="576" w:hanging="576"/>
        <w:outlineLvl w:val="1"/>
        <w:rPr>
          <w:rFonts w:ascii="Arial" w:eastAsia="Times New Roman" w:hAnsi="Arial" w:cs="Arial"/>
          <w:b/>
          <w:color w:val="0070C0"/>
          <w:sz w:val="24"/>
          <w:szCs w:val="24"/>
          <w:lang w:val="es-ES_tradnl" w:eastAsia="es-ES_tradnl"/>
        </w:rPr>
      </w:pPr>
      <w:bookmarkStart w:id="2" w:name="_Toc98333297"/>
      <w:r>
        <w:rPr>
          <w:rFonts w:ascii="Arial" w:eastAsia="Times New Roman" w:hAnsi="Arial" w:cs="Arial"/>
          <w:b/>
          <w:color w:val="2F5496"/>
          <w:sz w:val="24"/>
          <w:szCs w:val="24"/>
          <w:lang w:val="es-ES_tradnl" w:eastAsia="es-ES_tradnl"/>
        </w:rPr>
        <w:t xml:space="preserve">1.2 </w:t>
      </w:r>
      <w:r w:rsidR="00FF79E8" w:rsidRPr="00FF79E8">
        <w:rPr>
          <w:rFonts w:ascii="Arial" w:eastAsia="Times New Roman" w:hAnsi="Arial" w:cs="Arial"/>
          <w:b/>
          <w:color w:val="2F5496"/>
          <w:sz w:val="24"/>
          <w:szCs w:val="24"/>
          <w:lang w:val="es-ES_tradnl" w:eastAsia="es-ES_tradnl"/>
        </w:rPr>
        <w:t>Ámbito subjetivo: sujetos obligados y delimitación del informe</w:t>
      </w:r>
      <w:r w:rsidR="00FF79E8" w:rsidRPr="00FF79E8">
        <w:rPr>
          <w:rFonts w:ascii="Arial" w:eastAsia="Times New Roman" w:hAnsi="Arial" w:cs="Arial"/>
          <w:b/>
          <w:color w:val="0070C0"/>
          <w:sz w:val="24"/>
          <w:szCs w:val="24"/>
          <w:lang w:val="es-ES_tradnl" w:eastAsia="es-ES_tradnl"/>
        </w:rPr>
        <w:t>.</w:t>
      </w:r>
      <w:bookmarkEnd w:id="2"/>
      <w:r w:rsidR="00FF79E8" w:rsidRPr="00FF79E8">
        <w:rPr>
          <w:rFonts w:ascii="Arial" w:eastAsia="Times New Roman" w:hAnsi="Arial" w:cs="Arial"/>
          <w:b/>
          <w:color w:val="0070C0"/>
          <w:sz w:val="24"/>
          <w:szCs w:val="24"/>
          <w:lang w:val="es-ES_tradnl" w:eastAsia="es-ES_tradnl"/>
        </w:rPr>
        <w:t xml:space="preserve"> </w:t>
      </w:r>
    </w:p>
    <w:p w:rsidR="00FF79E8" w:rsidRPr="00D824D1" w:rsidRDefault="00FF79E8" w:rsidP="00FF79E8">
      <w:pPr>
        <w:widowControl w:val="0"/>
        <w:suppressAutoHyphens/>
        <w:autoSpaceDN w:val="0"/>
        <w:spacing w:before="240" w:after="0" w:line="240" w:lineRule="auto"/>
        <w:jc w:val="both"/>
        <w:rPr>
          <w:rFonts w:ascii="Arial" w:eastAsia="SimSun" w:hAnsi="Arial" w:cs="Arial"/>
          <w:kern w:val="3"/>
          <w:lang w:eastAsia="zh-CN" w:bidi="hi-IN"/>
        </w:rPr>
      </w:pPr>
      <w:r w:rsidRPr="00D824D1">
        <w:rPr>
          <w:rFonts w:ascii="Arial" w:eastAsia="SimSun" w:hAnsi="Arial" w:cs="Arial"/>
          <w:kern w:val="3"/>
          <w:lang w:eastAsia="zh-CN" w:bidi="hi-IN"/>
        </w:rPr>
        <w:t>El ámbito subjetivo de aplicación de la LTPCM comprende tanto la Administración pública de la Comunidad de Madrid como la Administración pública de las entidades locales y de las universidades públicas de la Comunidad de Madrid en todo aquello que no afecte a la autonomía local y universitaria constitucionalmente reconocida, así como a las entidades públicas y privadas vinculadas o dependiente de las mismas.</w:t>
      </w:r>
    </w:p>
    <w:p w:rsidR="00FF79E8" w:rsidRPr="00D824D1" w:rsidRDefault="00FF79E8" w:rsidP="00FF79E8">
      <w:pPr>
        <w:widowControl w:val="0"/>
        <w:suppressAutoHyphens/>
        <w:autoSpaceDN w:val="0"/>
        <w:spacing w:before="240" w:after="0" w:line="240" w:lineRule="auto"/>
        <w:jc w:val="both"/>
        <w:rPr>
          <w:rFonts w:ascii="Arial" w:eastAsia="SimSun" w:hAnsi="Arial" w:cs="Arial"/>
          <w:kern w:val="3"/>
          <w:lang w:eastAsia="zh-CN" w:bidi="hi-IN"/>
        </w:rPr>
      </w:pPr>
      <w:r w:rsidRPr="00D824D1">
        <w:rPr>
          <w:rFonts w:ascii="Arial" w:eastAsia="SimSun" w:hAnsi="Arial" w:cs="Arial"/>
          <w:kern w:val="3"/>
          <w:lang w:eastAsia="zh-CN" w:bidi="hi-IN"/>
        </w:rPr>
        <w:t xml:space="preserve">Además, en lo que se refiere a su actividad administrativa, quedan </w:t>
      </w:r>
      <w:r w:rsidR="0014226A">
        <w:rPr>
          <w:rFonts w:ascii="Arial" w:eastAsia="SimSun" w:hAnsi="Arial" w:cs="Arial"/>
          <w:kern w:val="3"/>
          <w:lang w:eastAsia="zh-CN" w:bidi="hi-IN"/>
        </w:rPr>
        <w:t>sujetos a lo establecido en la l</w:t>
      </w:r>
      <w:r w:rsidRPr="00D824D1">
        <w:rPr>
          <w:rFonts w:ascii="Arial" w:eastAsia="SimSun" w:hAnsi="Arial" w:cs="Arial"/>
          <w:kern w:val="3"/>
          <w:lang w:eastAsia="zh-CN" w:bidi="hi-IN"/>
        </w:rPr>
        <w:t>ey, la Asamblea de Madrid, la Cámara de Cuentas, las corporaciones de derecho público madrileñas y las federaciones y clubes deportivos.</w:t>
      </w:r>
    </w:p>
    <w:p w:rsidR="00FF79E8" w:rsidRPr="00D824D1" w:rsidRDefault="00FF79E8" w:rsidP="00FF79E8">
      <w:pPr>
        <w:widowControl w:val="0"/>
        <w:suppressAutoHyphens/>
        <w:autoSpaceDN w:val="0"/>
        <w:spacing w:before="240" w:after="0" w:line="240" w:lineRule="auto"/>
        <w:jc w:val="both"/>
        <w:rPr>
          <w:rFonts w:ascii="Arial" w:eastAsia="SimSun" w:hAnsi="Arial" w:cs="Arial"/>
          <w:kern w:val="3"/>
          <w:lang w:eastAsia="zh-CN" w:bidi="hi-IN"/>
        </w:rPr>
      </w:pPr>
      <w:r w:rsidRPr="00D824D1">
        <w:rPr>
          <w:rFonts w:ascii="Arial" w:eastAsia="SimSun" w:hAnsi="Arial" w:cs="Arial"/>
          <w:kern w:val="3"/>
          <w:lang w:eastAsia="zh-CN" w:bidi="hi-IN"/>
        </w:rPr>
        <w:t xml:space="preserve">El ámbito de aplicación del presente informe se concreta en la Administración general de la Comunidad de Madrid y </w:t>
      </w:r>
      <w:r w:rsidR="00B93125" w:rsidRPr="00D824D1">
        <w:rPr>
          <w:rFonts w:ascii="Arial" w:eastAsia="SimSun" w:hAnsi="Arial" w:cs="Arial"/>
          <w:kern w:val="3"/>
          <w:lang w:eastAsia="zh-CN" w:bidi="hi-IN"/>
        </w:rPr>
        <w:t xml:space="preserve">su Administración institucional, respecto de la cual en el </w:t>
      </w:r>
      <w:r w:rsidRPr="00D824D1">
        <w:rPr>
          <w:rFonts w:ascii="Arial" w:eastAsia="SimSun" w:hAnsi="Arial" w:cs="Arial"/>
          <w:kern w:val="3"/>
          <w:lang w:eastAsia="zh-CN" w:bidi="hi-IN"/>
        </w:rPr>
        <w:t xml:space="preserve">Portal de Transparencia se proporciona </w:t>
      </w:r>
      <w:r w:rsidR="00B93125" w:rsidRPr="00D824D1">
        <w:rPr>
          <w:rFonts w:ascii="Arial" w:eastAsia="SimSun" w:hAnsi="Arial" w:cs="Arial"/>
          <w:kern w:val="3"/>
          <w:lang w:eastAsia="zh-CN" w:bidi="hi-IN"/>
        </w:rPr>
        <w:t xml:space="preserve">la </w:t>
      </w:r>
      <w:r w:rsidRPr="00D824D1">
        <w:rPr>
          <w:rFonts w:ascii="Arial" w:eastAsia="SimSun" w:hAnsi="Arial" w:cs="Arial"/>
          <w:kern w:val="3"/>
          <w:lang w:eastAsia="zh-CN" w:bidi="hi-IN"/>
        </w:rPr>
        <w:t xml:space="preserve">información institucional y organizativa </w:t>
      </w:r>
      <w:r w:rsidR="00B93125" w:rsidRPr="00D824D1">
        <w:rPr>
          <w:rFonts w:ascii="Arial" w:eastAsia="SimSun" w:hAnsi="Arial" w:cs="Arial"/>
          <w:kern w:val="3"/>
          <w:lang w:eastAsia="zh-CN" w:bidi="hi-IN"/>
        </w:rPr>
        <w:t xml:space="preserve">que </w:t>
      </w:r>
      <w:r w:rsidRPr="00D824D1">
        <w:rPr>
          <w:rFonts w:ascii="Arial" w:eastAsia="SimSun" w:hAnsi="Arial" w:cs="Arial"/>
          <w:kern w:val="3"/>
          <w:lang w:eastAsia="zh-CN" w:bidi="hi-IN"/>
        </w:rPr>
        <w:t xml:space="preserve">exige la LTPCM. </w:t>
      </w:r>
    </w:p>
    <w:p w:rsidR="00B93125" w:rsidRPr="00D824D1" w:rsidRDefault="00B93125" w:rsidP="00FF79E8">
      <w:pPr>
        <w:widowControl w:val="0"/>
        <w:suppressAutoHyphens/>
        <w:autoSpaceDN w:val="0"/>
        <w:spacing w:before="240" w:after="0" w:line="240" w:lineRule="auto"/>
        <w:jc w:val="both"/>
        <w:rPr>
          <w:rFonts w:ascii="Arial" w:eastAsia="SimSun" w:hAnsi="Arial" w:cs="Arial"/>
          <w:kern w:val="3"/>
          <w:lang w:eastAsia="zh-CN" w:bidi="hi-IN"/>
        </w:rPr>
      </w:pPr>
      <w:r w:rsidRPr="00D824D1">
        <w:rPr>
          <w:rFonts w:ascii="Arial" w:eastAsia="SimSun" w:hAnsi="Arial" w:cs="Arial"/>
          <w:kern w:val="3"/>
          <w:lang w:eastAsia="zh-CN" w:bidi="hi-IN"/>
        </w:rPr>
        <w:t>Asimismo, en el Portal de Transparencia, en el apartado “Sector Público Autonómico” se facilita información relativa a las entidades que aparecen en la Ley de Presupuestos Generales de la Comunidad de Madrid, agrupadas por tipo de entidad. Y en el apartado “Sujetos obligados”</w:t>
      </w:r>
      <w:r w:rsidR="00644920" w:rsidRPr="00D824D1">
        <w:rPr>
          <w:rFonts w:ascii="Arial" w:eastAsia="SimSun" w:hAnsi="Arial" w:cs="Arial"/>
          <w:kern w:val="3"/>
          <w:lang w:eastAsia="zh-CN" w:bidi="hi-IN"/>
        </w:rPr>
        <w:t xml:space="preserve"> se publica</w:t>
      </w:r>
      <w:r w:rsidR="00A72AF1" w:rsidRPr="00D824D1">
        <w:rPr>
          <w:rFonts w:ascii="Arial" w:eastAsia="SimSun" w:hAnsi="Arial" w:cs="Arial"/>
          <w:kern w:val="3"/>
          <w:lang w:eastAsia="zh-CN" w:bidi="hi-IN"/>
        </w:rPr>
        <w:t xml:space="preserve"> una relación p</w:t>
      </w:r>
      <w:r w:rsidRPr="00D824D1">
        <w:rPr>
          <w:rFonts w:ascii="Arial" w:eastAsia="SimSun" w:hAnsi="Arial" w:cs="Arial"/>
          <w:kern w:val="3"/>
          <w:lang w:eastAsia="zh-CN" w:bidi="hi-IN"/>
        </w:rPr>
        <w:t>o</w:t>
      </w:r>
      <w:r w:rsidR="00A72AF1" w:rsidRPr="00D824D1">
        <w:rPr>
          <w:rFonts w:ascii="Arial" w:eastAsia="SimSun" w:hAnsi="Arial" w:cs="Arial"/>
          <w:kern w:val="3"/>
          <w:lang w:eastAsia="zh-CN" w:bidi="hi-IN"/>
        </w:rPr>
        <w:t>r</w:t>
      </w:r>
      <w:r w:rsidRPr="00D824D1">
        <w:rPr>
          <w:rFonts w:ascii="Arial" w:eastAsia="SimSun" w:hAnsi="Arial" w:cs="Arial"/>
          <w:kern w:val="3"/>
          <w:lang w:eastAsia="zh-CN" w:bidi="hi-IN"/>
        </w:rPr>
        <w:t xml:space="preserve">menorizada de entidades a las que resulta de aplicación la LTPCM, </w:t>
      </w:r>
      <w:r w:rsidR="00A72AF1" w:rsidRPr="00D824D1">
        <w:rPr>
          <w:rFonts w:ascii="Arial" w:eastAsia="SimSun" w:hAnsi="Arial" w:cs="Arial"/>
          <w:kern w:val="3"/>
          <w:lang w:eastAsia="zh-CN" w:bidi="hi-IN"/>
        </w:rPr>
        <w:t xml:space="preserve">con enlaces a sus </w:t>
      </w:r>
      <w:r w:rsidR="00644920" w:rsidRPr="00D824D1">
        <w:rPr>
          <w:rFonts w:ascii="Arial" w:eastAsia="SimSun" w:hAnsi="Arial" w:cs="Arial"/>
          <w:kern w:val="3"/>
          <w:lang w:eastAsia="zh-CN" w:bidi="hi-IN"/>
        </w:rPr>
        <w:t>respectivas</w:t>
      </w:r>
      <w:r w:rsidR="00A72AF1" w:rsidRPr="00D824D1">
        <w:rPr>
          <w:rFonts w:ascii="Arial" w:eastAsia="SimSun" w:hAnsi="Arial" w:cs="Arial"/>
          <w:kern w:val="3"/>
          <w:lang w:eastAsia="zh-CN" w:bidi="hi-IN"/>
        </w:rPr>
        <w:t xml:space="preserve"> páginas web, lo que permit</w:t>
      </w:r>
      <w:r w:rsidR="007E5914">
        <w:rPr>
          <w:rFonts w:ascii="Arial" w:eastAsia="SimSun" w:hAnsi="Arial" w:cs="Arial"/>
          <w:kern w:val="3"/>
          <w:lang w:eastAsia="zh-CN" w:bidi="hi-IN"/>
        </w:rPr>
        <w:t>e tener acceso desde el propio P</w:t>
      </w:r>
      <w:r w:rsidR="00A72AF1" w:rsidRPr="00D824D1">
        <w:rPr>
          <w:rFonts w:ascii="Arial" w:eastAsia="SimSun" w:hAnsi="Arial" w:cs="Arial"/>
          <w:kern w:val="3"/>
          <w:lang w:eastAsia="zh-CN" w:bidi="hi-IN"/>
        </w:rPr>
        <w:t xml:space="preserve">ortal a toda la información que es </w:t>
      </w:r>
      <w:r w:rsidR="00644920" w:rsidRPr="00D824D1">
        <w:rPr>
          <w:rFonts w:ascii="Arial" w:eastAsia="SimSun" w:hAnsi="Arial" w:cs="Arial"/>
          <w:kern w:val="3"/>
          <w:lang w:eastAsia="zh-CN" w:bidi="hi-IN"/>
        </w:rPr>
        <w:t>responsabilidad</w:t>
      </w:r>
      <w:r w:rsidR="00A72AF1" w:rsidRPr="00D824D1">
        <w:rPr>
          <w:rFonts w:ascii="Arial" w:eastAsia="SimSun" w:hAnsi="Arial" w:cs="Arial"/>
          <w:kern w:val="3"/>
          <w:lang w:eastAsia="zh-CN" w:bidi="hi-IN"/>
        </w:rPr>
        <w:t xml:space="preserve"> de la Comunidad y del resto de los sujetos obligados publicar.</w:t>
      </w:r>
    </w:p>
    <w:p w:rsidR="00FF79E8" w:rsidRPr="00FF79E8" w:rsidRDefault="00D824D1" w:rsidP="00D824D1">
      <w:pPr>
        <w:rPr>
          <w:rFonts w:ascii="Arial" w:eastAsia="SimSun" w:hAnsi="Arial" w:cs="Arial"/>
          <w:kern w:val="3"/>
          <w:sz w:val="20"/>
          <w:szCs w:val="24"/>
          <w:lang w:eastAsia="zh-CN" w:bidi="hi-IN"/>
        </w:rPr>
      </w:pPr>
      <w:r>
        <w:rPr>
          <w:rFonts w:ascii="Arial" w:eastAsia="SimSun" w:hAnsi="Arial" w:cs="Arial"/>
          <w:kern w:val="3"/>
          <w:sz w:val="20"/>
          <w:szCs w:val="24"/>
          <w:lang w:eastAsia="zh-CN" w:bidi="hi-IN"/>
        </w:rPr>
        <w:br w:type="page"/>
      </w:r>
    </w:p>
    <w:p w:rsidR="00FF79E8" w:rsidRPr="00FF79E8" w:rsidRDefault="00D824D1" w:rsidP="00FF79E8">
      <w:pPr>
        <w:keepNext/>
        <w:keepLines/>
        <w:numPr>
          <w:ilvl w:val="1"/>
          <w:numId w:val="0"/>
        </w:numPr>
        <w:spacing w:before="40" w:after="0" w:line="240" w:lineRule="auto"/>
        <w:ind w:left="576" w:hanging="576"/>
        <w:outlineLvl w:val="1"/>
        <w:rPr>
          <w:rFonts w:ascii="Arial" w:eastAsia="Times New Roman" w:hAnsi="Arial" w:cs="Arial"/>
          <w:b/>
          <w:color w:val="2F5496"/>
          <w:sz w:val="24"/>
          <w:szCs w:val="24"/>
          <w:lang w:val="es-ES_tradnl" w:eastAsia="es-ES_tradnl"/>
        </w:rPr>
      </w:pPr>
      <w:bookmarkStart w:id="3" w:name="_Toc98333298"/>
      <w:r>
        <w:rPr>
          <w:rFonts w:ascii="Arial" w:eastAsia="Times New Roman" w:hAnsi="Arial" w:cs="Arial"/>
          <w:b/>
          <w:color w:val="2F5496"/>
          <w:sz w:val="24"/>
          <w:szCs w:val="24"/>
          <w:lang w:val="es-ES_tradnl" w:eastAsia="es-ES_tradnl"/>
        </w:rPr>
        <w:lastRenderedPageBreak/>
        <w:t xml:space="preserve">1.3 </w:t>
      </w:r>
      <w:r w:rsidR="00FF79E8" w:rsidRPr="00FF79E8">
        <w:rPr>
          <w:rFonts w:ascii="Arial" w:eastAsia="Times New Roman" w:hAnsi="Arial" w:cs="Arial"/>
          <w:b/>
          <w:color w:val="2F5496"/>
          <w:sz w:val="24"/>
          <w:szCs w:val="24"/>
          <w:lang w:val="es-ES_tradnl" w:eastAsia="es-ES_tradnl"/>
        </w:rPr>
        <w:t>Ámbito organizativo.</w:t>
      </w:r>
      <w:bookmarkEnd w:id="3"/>
    </w:p>
    <w:p w:rsidR="00FF79E8" w:rsidRPr="00D824D1" w:rsidRDefault="00FF79E8" w:rsidP="00FF79E8">
      <w:pPr>
        <w:widowControl w:val="0"/>
        <w:suppressAutoHyphens/>
        <w:autoSpaceDN w:val="0"/>
        <w:spacing w:before="240" w:after="0" w:line="240" w:lineRule="auto"/>
        <w:jc w:val="both"/>
        <w:rPr>
          <w:rFonts w:ascii="Arial" w:eastAsia="SimSun" w:hAnsi="Arial" w:cs="Arial"/>
          <w:bCs/>
          <w:kern w:val="3"/>
          <w:lang w:val="es-ES_tradnl" w:eastAsia="zh-CN" w:bidi="hi-IN"/>
        </w:rPr>
      </w:pPr>
      <w:r w:rsidRPr="00D824D1">
        <w:rPr>
          <w:rFonts w:ascii="Arial" w:eastAsia="SimSun" w:hAnsi="Arial" w:cs="Arial"/>
          <w:bCs/>
          <w:kern w:val="3"/>
          <w:lang w:eastAsia="zh-CN" w:bidi="hi-IN"/>
        </w:rPr>
        <w:t xml:space="preserve">El artículo 28.1 de la LTPCM indica que “En el ámbito de la Administración pública de la Comunidad de Madrid y de su sector público, se creará la Oficina de Coordinación de la Transparencia”.  De acuerdo con el Decreto 191/2021, de 3 de agosto, del Consejo de Gobierno, por el que se establece la estructura orgánica de la Consejería de Presidencia, Justicia e Interior, </w:t>
      </w:r>
      <w:r w:rsidRPr="00D824D1">
        <w:rPr>
          <w:rFonts w:ascii="Arial" w:eastAsia="SimSun" w:hAnsi="Arial" w:cs="Arial"/>
          <w:bCs/>
          <w:kern w:val="3"/>
          <w:lang w:val="es-ES_tradnl" w:eastAsia="zh-CN" w:bidi="hi-IN"/>
        </w:rPr>
        <w:t>las funciones atribuidas a la Oficina de Coordinación de la Transparencia por el artículo 28.1 de la LTPCM son ejercidas por la Subdirección General de Gobierno Abierto y Transparencia, dependiente de la Dirección General de Transparencia y Atención al Ciudadano.</w:t>
      </w:r>
    </w:p>
    <w:p w:rsidR="00FF79E8" w:rsidRPr="00D824D1" w:rsidRDefault="00FF79E8" w:rsidP="00FF79E8">
      <w:pPr>
        <w:widowControl w:val="0"/>
        <w:suppressAutoHyphens/>
        <w:autoSpaceDN w:val="0"/>
        <w:spacing w:before="240" w:after="0" w:line="240" w:lineRule="auto"/>
        <w:jc w:val="both"/>
        <w:rPr>
          <w:rFonts w:ascii="Arial" w:eastAsia="SimSun" w:hAnsi="Arial" w:cs="Arial"/>
          <w:bCs/>
          <w:kern w:val="3"/>
          <w:lang w:eastAsia="zh-CN" w:bidi="hi-IN"/>
        </w:rPr>
      </w:pPr>
      <w:r w:rsidRPr="00D824D1">
        <w:rPr>
          <w:rFonts w:ascii="Arial" w:eastAsia="SimSun" w:hAnsi="Arial" w:cs="Arial"/>
          <w:bCs/>
          <w:kern w:val="3"/>
          <w:lang w:eastAsia="zh-CN" w:bidi="hi-IN"/>
        </w:rPr>
        <w:t xml:space="preserve">Desde esta Subdirección General se coordina la labor de las distintas </w:t>
      </w:r>
      <w:r w:rsidR="00255CDA">
        <w:rPr>
          <w:rFonts w:ascii="Arial" w:eastAsia="SimSun" w:hAnsi="Arial" w:cs="Arial"/>
          <w:bCs/>
          <w:kern w:val="3"/>
          <w:lang w:eastAsia="zh-CN" w:bidi="hi-IN"/>
        </w:rPr>
        <w:t>consejería</w:t>
      </w:r>
      <w:r w:rsidRPr="00D824D1">
        <w:rPr>
          <w:rFonts w:ascii="Arial" w:eastAsia="SimSun" w:hAnsi="Arial" w:cs="Arial"/>
          <w:bCs/>
          <w:kern w:val="3"/>
          <w:lang w:eastAsia="zh-CN" w:bidi="hi-IN"/>
        </w:rPr>
        <w:t>s, ofreciéndolas asesoramiento técnico, se aprueban las directrices que se deben de aplicar para la publicación de la información, se gestiona el Portal de Transparencia de la Comunidad de Madrid, y se lleva a cabo el seguimiento y control de la correcta tramitación de las solicitudes de acceso a la información pública y de sus reclamaciones.</w:t>
      </w:r>
    </w:p>
    <w:p w:rsidR="00FF79E8" w:rsidRPr="00D824D1" w:rsidRDefault="00FF79E8" w:rsidP="00FF79E8">
      <w:pPr>
        <w:widowControl w:val="0"/>
        <w:suppressAutoHyphens/>
        <w:autoSpaceDN w:val="0"/>
        <w:spacing w:before="240" w:after="0" w:line="240" w:lineRule="auto"/>
        <w:jc w:val="both"/>
        <w:rPr>
          <w:rFonts w:ascii="Arial" w:eastAsia="SimSun" w:hAnsi="Arial" w:cs="Arial"/>
          <w:bCs/>
          <w:kern w:val="3"/>
          <w:lang w:eastAsia="zh-CN" w:bidi="hi-IN"/>
        </w:rPr>
      </w:pPr>
      <w:r w:rsidRPr="00D824D1">
        <w:rPr>
          <w:rFonts w:ascii="Arial" w:eastAsia="SimSun" w:hAnsi="Arial" w:cs="Arial"/>
          <w:bCs/>
          <w:kern w:val="3"/>
          <w:lang w:eastAsia="zh-CN" w:bidi="hi-IN"/>
        </w:rPr>
        <w:t>Hay que destacar también la importante la</w:t>
      </w:r>
      <w:r w:rsidR="00255CDA">
        <w:rPr>
          <w:rFonts w:ascii="Arial" w:eastAsia="SimSun" w:hAnsi="Arial" w:cs="Arial"/>
          <w:bCs/>
          <w:kern w:val="3"/>
          <w:lang w:eastAsia="zh-CN" w:bidi="hi-IN"/>
        </w:rPr>
        <w:t>bor que se desarrolla en las 9 c</w:t>
      </w:r>
      <w:r w:rsidRPr="00D824D1">
        <w:rPr>
          <w:rFonts w:ascii="Arial" w:eastAsia="SimSun" w:hAnsi="Arial" w:cs="Arial"/>
          <w:bCs/>
          <w:kern w:val="3"/>
          <w:lang w:eastAsia="zh-CN" w:bidi="hi-IN"/>
        </w:rPr>
        <w:t xml:space="preserve">onsejerías de la Administración autonómica, a través de las </w:t>
      </w:r>
      <w:r w:rsidRPr="00D824D1">
        <w:rPr>
          <w:rFonts w:ascii="Arial" w:eastAsia="SimSun" w:hAnsi="Arial" w:cs="Arial"/>
          <w:b/>
          <w:bCs/>
          <w:kern w:val="3"/>
          <w:lang w:eastAsia="zh-CN" w:bidi="hi-IN"/>
        </w:rPr>
        <w:t>unidades de transparencia</w:t>
      </w:r>
      <w:r w:rsidRPr="00D824D1">
        <w:rPr>
          <w:rFonts w:ascii="Arial" w:eastAsia="SimSun" w:hAnsi="Arial" w:cs="Arial"/>
          <w:bCs/>
          <w:kern w:val="3"/>
          <w:lang w:eastAsia="zh-CN" w:bidi="hi-IN"/>
        </w:rPr>
        <w:t xml:space="preserve"> adscritas a sus Secretarías Generales Técnicas. Son estas unidades las encargadas de publicar y mantener actualizada la información relativa a sus respectivos ámbitos y de controlar la tramitación de las solicitudes de acceso a la información pública.</w:t>
      </w:r>
    </w:p>
    <w:p w:rsidR="0075724C" w:rsidRPr="0075724C" w:rsidRDefault="0075724C" w:rsidP="0075724C">
      <w:pPr>
        <w:rPr>
          <w:rFonts w:ascii="Arial" w:eastAsia="SimSun" w:hAnsi="Arial" w:cs="Arial"/>
          <w:bCs/>
          <w:kern w:val="3"/>
          <w:lang w:eastAsia="zh-CN" w:bidi="hi-IN"/>
        </w:rPr>
      </w:pPr>
      <w:r>
        <w:rPr>
          <w:rFonts w:ascii="Arial" w:eastAsia="SimSun" w:hAnsi="Arial" w:cs="Arial"/>
          <w:bCs/>
          <w:kern w:val="3"/>
          <w:lang w:eastAsia="zh-CN" w:bidi="hi-IN"/>
        </w:rPr>
        <w:br w:type="page"/>
      </w:r>
    </w:p>
    <w:p w:rsidR="0075724C" w:rsidRDefault="004F2BF5" w:rsidP="0075724C">
      <w:pPr>
        <w:keepNext/>
        <w:keepLines/>
        <w:spacing w:before="40" w:after="0" w:line="240" w:lineRule="auto"/>
        <w:outlineLvl w:val="1"/>
        <w:rPr>
          <w:rFonts w:ascii="Arial" w:eastAsiaTheme="majorEastAsia" w:hAnsi="Arial" w:cs="Arial"/>
          <w:b/>
          <w:color w:val="2F5496"/>
          <w:sz w:val="24"/>
          <w:szCs w:val="24"/>
          <w:lang w:val="es-ES_tradnl" w:eastAsia="es-ES_tradnl"/>
        </w:rPr>
      </w:pPr>
      <w:bookmarkStart w:id="4" w:name="_Toc64153806"/>
      <w:bookmarkStart w:id="5" w:name="_Toc98333300"/>
      <w:r>
        <w:rPr>
          <w:rFonts w:ascii="Arial" w:eastAsiaTheme="majorEastAsia" w:hAnsi="Arial" w:cs="Arial"/>
          <w:b/>
          <w:noProof/>
          <w:color w:val="2F5496"/>
          <w:sz w:val="24"/>
          <w:szCs w:val="24"/>
          <w:lang w:eastAsia="es-ES"/>
        </w:rPr>
        <w:lastRenderedPageBreak/>
        <w:drawing>
          <wp:inline distT="0" distB="0" distL="0" distR="0">
            <wp:extent cx="2700000" cy="144000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0000" cy="1440000"/>
                    </a:xfrm>
                    <a:prstGeom prst="rect">
                      <a:avLst/>
                    </a:prstGeom>
                  </pic:spPr>
                </pic:pic>
              </a:graphicData>
            </a:graphic>
          </wp:inline>
        </w:drawing>
      </w:r>
    </w:p>
    <w:p w:rsidR="0075724C" w:rsidRPr="006362E2" w:rsidRDefault="0075724C" w:rsidP="006362E2">
      <w:pPr>
        <w:pStyle w:val="Prrafodelista"/>
        <w:keepNext/>
        <w:keepLines/>
        <w:numPr>
          <w:ilvl w:val="1"/>
          <w:numId w:val="14"/>
        </w:numPr>
        <w:spacing w:before="40" w:after="0" w:line="240" w:lineRule="auto"/>
        <w:outlineLvl w:val="1"/>
        <w:rPr>
          <w:rFonts w:ascii="Arial" w:eastAsiaTheme="majorEastAsia" w:hAnsi="Arial" w:cs="Arial"/>
          <w:b/>
          <w:color w:val="2F5496"/>
          <w:sz w:val="24"/>
          <w:szCs w:val="24"/>
          <w:lang w:val="es-ES_tradnl" w:eastAsia="es-ES_tradnl"/>
        </w:rPr>
      </w:pPr>
      <w:r w:rsidRPr="006362E2">
        <w:rPr>
          <w:rFonts w:ascii="Arial" w:eastAsiaTheme="majorEastAsia" w:hAnsi="Arial" w:cs="Arial"/>
          <w:b/>
          <w:color w:val="2F5496"/>
          <w:sz w:val="24"/>
          <w:szCs w:val="24"/>
          <w:lang w:val="es-ES_tradnl" w:eastAsia="es-ES_tradnl"/>
        </w:rPr>
        <w:t>Introducción y planteamiento del análisis.</w:t>
      </w:r>
      <w:bookmarkEnd w:id="4"/>
      <w:bookmarkEnd w:id="5"/>
    </w:p>
    <w:p w:rsidR="0075724C" w:rsidRPr="0075724C" w:rsidRDefault="0075724C" w:rsidP="0075724C">
      <w:pPr>
        <w:widowControl w:val="0"/>
        <w:suppressAutoHyphens/>
        <w:autoSpaceDN w:val="0"/>
        <w:spacing w:before="240" w:after="0" w:line="240" w:lineRule="auto"/>
        <w:jc w:val="both"/>
        <w:rPr>
          <w:rFonts w:ascii="Arial" w:eastAsia="SimSun" w:hAnsi="Arial" w:cs="Arial"/>
          <w:kern w:val="3"/>
          <w:lang w:eastAsia="zh-CN" w:bidi="hi-IN"/>
        </w:rPr>
      </w:pPr>
      <w:r w:rsidRPr="0075724C">
        <w:rPr>
          <w:rFonts w:ascii="Arial" w:eastAsia="SimSun" w:hAnsi="Arial" w:cs="Arial"/>
          <w:kern w:val="3"/>
          <w:lang w:eastAsia="zh-CN" w:bidi="hi-IN"/>
        </w:rPr>
        <w:t xml:space="preserve">La publicidad activa se define por la LTPCM como la obligación de </w:t>
      </w:r>
      <w:r w:rsidRPr="0075724C">
        <w:rPr>
          <w:rFonts w:ascii="Arial" w:eastAsia="SimSun" w:hAnsi="Arial" w:cs="Arial"/>
          <w:b/>
          <w:kern w:val="3"/>
          <w:lang w:eastAsia="zh-CN" w:bidi="hi-IN"/>
        </w:rPr>
        <w:t>difundir la información pública y de garantizar la transparencia de la actividad pública de oficio</w:t>
      </w:r>
      <w:r w:rsidRPr="0075724C">
        <w:rPr>
          <w:rFonts w:ascii="Arial" w:eastAsia="SimSun" w:hAnsi="Arial" w:cs="Arial"/>
          <w:kern w:val="3"/>
          <w:lang w:eastAsia="zh-CN" w:bidi="hi-IN"/>
        </w:rPr>
        <w:t>, de forma permanente y veraz, atendiendo a los criterios establecidos en el Capítulo</w:t>
      </w:r>
      <w:r w:rsidR="0014226A">
        <w:rPr>
          <w:rFonts w:ascii="Arial" w:eastAsia="SimSun" w:hAnsi="Arial" w:cs="Arial"/>
          <w:kern w:val="3"/>
          <w:lang w:eastAsia="zh-CN" w:bidi="hi-IN"/>
        </w:rPr>
        <w:t xml:space="preserve"> II del Título II de la citada l</w:t>
      </w:r>
      <w:r w:rsidRPr="0075724C">
        <w:rPr>
          <w:rFonts w:ascii="Arial" w:eastAsia="SimSun" w:hAnsi="Arial" w:cs="Arial"/>
          <w:kern w:val="3"/>
          <w:lang w:eastAsia="zh-CN" w:bidi="hi-IN"/>
        </w:rPr>
        <w:t xml:space="preserve">ey. </w:t>
      </w:r>
    </w:p>
    <w:p w:rsidR="0075724C" w:rsidRPr="0075724C" w:rsidRDefault="0075724C" w:rsidP="0075724C">
      <w:pPr>
        <w:widowControl w:val="0"/>
        <w:suppressAutoHyphens/>
        <w:autoSpaceDN w:val="0"/>
        <w:spacing w:before="240" w:after="0" w:line="240" w:lineRule="auto"/>
        <w:jc w:val="both"/>
        <w:rPr>
          <w:rFonts w:ascii="Arial" w:eastAsia="SimSun" w:hAnsi="Arial" w:cs="Arial"/>
          <w:kern w:val="3"/>
          <w:lang w:eastAsia="zh-CN" w:bidi="hi-IN"/>
        </w:rPr>
      </w:pPr>
      <w:r w:rsidRPr="0075724C">
        <w:rPr>
          <w:rFonts w:ascii="Arial" w:eastAsia="SimSun" w:hAnsi="Arial" w:cs="Arial"/>
          <w:kern w:val="3"/>
          <w:lang w:eastAsia="zh-CN" w:bidi="hi-IN"/>
        </w:rPr>
        <w:t xml:space="preserve">A tal efecto, la Administración de la Comunidad de Madrid cuenta con un Portal de Transparencia, accesible para los ciudadanos, en el que se trabaja para ofrecer la información de un modo comprensible, estructurado y actualizado. </w:t>
      </w:r>
      <w:r w:rsidRPr="0075724C">
        <w:rPr>
          <w:rFonts w:ascii="Arial" w:eastAsia="SimSun" w:hAnsi="Arial" w:cs="Arial"/>
          <w:color w:val="FF0000"/>
          <w:kern w:val="3"/>
          <w:lang w:eastAsia="zh-CN" w:bidi="hi-IN"/>
        </w:rPr>
        <w:t xml:space="preserve"> </w:t>
      </w:r>
    </w:p>
    <w:p w:rsidR="0075724C" w:rsidRPr="0075724C" w:rsidRDefault="0075724C" w:rsidP="0075724C">
      <w:pPr>
        <w:widowControl w:val="0"/>
        <w:suppressAutoHyphens/>
        <w:autoSpaceDN w:val="0"/>
        <w:spacing w:before="240" w:after="0" w:line="240" w:lineRule="auto"/>
        <w:jc w:val="both"/>
        <w:rPr>
          <w:rFonts w:ascii="Arial" w:eastAsia="SimSun" w:hAnsi="Arial" w:cs="Arial"/>
          <w:kern w:val="3"/>
          <w:lang w:eastAsia="zh-CN" w:bidi="hi-IN"/>
        </w:rPr>
      </w:pPr>
      <w:r w:rsidRPr="0075724C">
        <w:rPr>
          <w:rFonts w:ascii="Arial" w:eastAsia="SimSun" w:hAnsi="Arial" w:cs="Arial"/>
          <w:kern w:val="3"/>
          <w:lang w:eastAsia="zh-CN" w:bidi="hi-IN"/>
        </w:rPr>
        <w:t>Durante los primeros años de vigencia de la LTPCM, la prioridad en el ámbito de la publicidad activa ha sido recoger en el Portal de Transparencia la información relacionada en el Capítulo II del Título II de la</w:t>
      </w:r>
      <w:r w:rsidR="00675DFB">
        <w:rPr>
          <w:rFonts w:ascii="Arial" w:eastAsia="SimSun" w:hAnsi="Arial" w:cs="Arial"/>
          <w:kern w:val="3"/>
          <w:lang w:eastAsia="zh-CN" w:bidi="hi-IN"/>
        </w:rPr>
        <w:t xml:space="preserve"> citada</w:t>
      </w:r>
      <w:r w:rsidRPr="0075724C">
        <w:rPr>
          <w:rFonts w:ascii="Arial" w:eastAsia="SimSun" w:hAnsi="Arial" w:cs="Arial"/>
          <w:kern w:val="3"/>
          <w:lang w:eastAsia="zh-CN" w:bidi="hi-IN"/>
        </w:rPr>
        <w:t xml:space="preserve"> </w:t>
      </w:r>
      <w:r w:rsidR="0014226A">
        <w:rPr>
          <w:rFonts w:ascii="Arial" w:eastAsia="SimSun" w:hAnsi="Arial" w:cs="Arial"/>
          <w:kern w:val="3"/>
          <w:lang w:eastAsia="zh-CN" w:bidi="hi-IN"/>
        </w:rPr>
        <w:t>l</w:t>
      </w:r>
      <w:r w:rsidRPr="0075724C">
        <w:rPr>
          <w:rFonts w:ascii="Arial" w:eastAsia="SimSun" w:hAnsi="Arial" w:cs="Arial"/>
          <w:kern w:val="3"/>
          <w:lang w:eastAsia="zh-CN" w:bidi="hi-IN"/>
        </w:rPr>
        <w:t xml:space="preserve">ey, y mantenerla actualizada. En el año 2022 se ha continuado con esta labor de actualización de la información y se ha revisado y modificado la redacción de determinados apartados con el objetivo de hacerlos más accesibles. </w:t>
      </w:r>
    </w:p>
    <w:p w:rsidR="0075724C" w:rsidRPr="0075724C" w:rsidRDefault="0075724C" w:rsidP="0075724C">
      <w:pPr>
        <w:widowControl w:val="0"/>
        <w:suppressAutoHyphens/>
        <w:autoSpaceDN w:val="0"/>
        <w:spacing w:before="240" w:after="0" w:line="240" w:lineRule="auto"/>
        <w:jc w:val="both"/>
        <w:rPr>
          <w:rFonts w:ascii="Arial" w:eastAsia="SimSun" w:hAnsi="Arial" w:cs="Arial"/>
          <w:kern w:val="3"/>
          <w:lang w:val="es-ES_tradnl" w:eastAsia="zh-CN" w:bidi="hi-IN"/>
        </w:rPr>
      </w:pPr>
      <w:r w:rsidRPr="0075724C">
        <w:rPr>
          <w:rFonts w:ascii="Arial" w:eastAsia="SimSun" w:hAnsi="Arial" w:cs="Arial"/>
          <w:kern w:val="3"/>
          <w:lang w:val="es-ES_tradnl" w:eastAsia="zh-CN" w:bidi="hi-IN"/>
        </w:rPr>
        <w:t xml:space="preserve">Asimismo, se sigue trabajando para ofrecer </w:t>
      </w:r>
      <w:r w:rsidR="00A67B68" w:rsidRPr="0075724C">
        <w:rPr>
          <w:rFonts w:ascii="Arial" w:eastAsia="SimSun" w:hAnsi="Arial" w:cs="Arial"/>
          <w:kern w:val="3"/>
          <w:lang w:val="es-ES_tradnl" w:eastAsia="zh-CN" w:bidi="hi-IN"/>
        </w:rPr>
        <w:t xml:space="preserve">información </w:t>
      </w:r>
      <w:r w:rsidRPr="0075724C">
        <w:rPr>
          <w:rFonts w:ascii="Arial" w:eastAsia="SimSun" w:hAnsi="Arial" w:cs="Arial"/>
          <w:kern w:val="3"/>
          <w:lang w:val="es-ES_tradnl" w:eastAsia="zh-CN" w:bidi="hi-IN"/>
        </w:rPr>
        <w:t>en el Portal de Transparencia que se considera relevante y de utilidad para el conjunto de los ciudadanos. Destacan en este aspecto</w:t>
      </w:r>
      <w:r w:rsidR="00E26745">
        <w:rPr>
          <w:rFonts w:ascii="Arial" w:eastAsia="SimSun" w:hAnsi="Arial" w:cs="Arial"/>
          <w:kern w:val="3"/>
          <w:lang w:val="es-ES_tradnl" w:eastAsia="zh-CN" w:bidi="hi-IN"/>
        </w:rPr>
        <w:t>:</w:t>
      </w:r>
      <w:r w:rsidRPr="0075724C">
        <w:rPr>
          <w:rFonts w:ascii="Arial" w:eastAsia="SimSun" w:hAnsi="Arial" w:cs="Arial"/>
          <w:kern w:val="3"/>
          <w:lang w:val="es-ES_tradnl" w:eastAsia="zh-CN" w:bidi="hi-IN"/>
        </w:rPr>
        <w:t xml:space="preserve"> la incorporación en el año 2022 de un contenido sobre los desplazados de Ucrania, que ofrece información estadística sobre las actuaciones llevadas a cabo p</w:t>
      </w:r>
      <w:r w:rsidR="00A67B68">
        <w:rPr>
          <w:rFonts w:ascii="Arial" w:eastAsia="SimSun" w:hAnsi="Arial" w:cs="Arial"/>
          <w:kern w:val="3"/>
          <w:lang w:val="es-ES_tradnl" w:eastAsia="zh-CN" w:bidi="hi-IN"/>
        </w:rPr>
        <w:t>ara facilitar</w:t>
      </w:r>
      <w:r w:rsidR="00675DFB">
        <w:rPr>
          <w:rFonts w:ascii="Arial" w:eastAsia="SimSun" w:hAnsi="Arial" w:cs="Arial"/>
          <w:kern w:val="3"/>
          <w:lang w:val="es-ES_tradnl" w:eastAsia="zh-CN" w:bidi="hi-IN"/>
        </w:rPr>
        <w:t>les el</w:t>
      </w:r>
      <w:r w:rsidRPr="0075724C">
        <w:rPr>
          <w:rFonts w:ascii="Arial" w:eastAsia="SimSun" w:hAnsi="Arial" w:cs="Arial"/>
          <w:kern w:val="3"/>
          <w:lang w:val="es-ES_tradnl" w:eastAsia="zh-CN" w:bidi="hi-IN"/>
        </w:rPr>
        <w:t xml:space="preserve"> acceso a los servicios públicos puesto</w:t>
      </w:r>
      <w:r w:rsidR="00675DFB">
        <w:rPr>
          <w:rFonts w:ascii="Arial" w:eastAsia="SimSun" w:hAnsi="Arial" w:cs="Arial"/>
          <w:kern w:val="3"/>
          <w:lang w:val="es-ES_tradnl" w:eastAsia="zh-CN" w:bidi="hi-IN"/>
        </w:rPr>
        <w:t>s</w:t>
      </w:r>
      <w:r w:rsidRPr="0075724C">
        <w:rPr>
          <w:rFonts w:ascii="Arial" w:eastAsia="SimSun" w:hAnsi="Arial" w:cs="Arial"/>
          <w:kern w:val="3"/>
          <w:lang w:val="es-ES_tradnl" w:eastAsia="zh-CN" w:bidi="hi-IN"/>
        </w:rPr>
        <w:t xml:space="preserve"> a su disposición; el contenido denominado “Dónde van mis impuestos”, con información sobre la distr</w:t>
      </w:r>
      <w:r w:rsidR="004368DE">
        <w:rPr>
          <w:rFonts w:ascii="Arial" w:eastAsia="SimSun" w:hAnsi="Arial" w:cs="Arial"/>
          <w:kern w:val="3"/>
          <w:lang w:val="es-ES_tradnl" w:eastAsia="zh-CN" w:bidi="hi-IN"/>
        </w:rPr>
        <w:t xml:space="preserve">ibución de los tributos </w:t>
      </w:r>
      <w:r w:rsidR="00675DFB">
        <w:rPr>
          <w:rFonts w:ascii="Arial" w:eastAsia="SimSun" w:hAnsi="Arial" w:cs="Arial"/>
          <w:kern w:val="3"/>
          <w:lang w:val="es-ES_tradnl" w:eastAsia="zh-CN" w:bidi="hi-IN"/>
        </w:rPr>
        <w:t xml:space="preserve">cedidos </w:t>
      </w:r>
      <w:r w:rsidR="004368DE">
        <w:rPr>
          <w:rFonts w:ascii="Arial" w:eastAsia="SimSun" w:hAnsi="Arial" w:cs="Arial"/>
          <w:kern w:val="3"/>
          <w:lang w:val="es-ES_tradnl" w:eastAsia="zh-CN" w:bidi="hi-IN"/>
        </w:rPr>
        <w:t xml:space="preserve">a la </w:t>
      </w:r>
      <w:r w:rsidRPr="0075724C">
        <w:rPr>
          <w:rFonts w:ascii="Arial" w:eastAsia="SimSun" w:hAnsi="Arial" w:cs="Arial"/>
          <w:kern w:val="3"/>
          <w:lang w:val="es-ES_tradnl" w:eastAsia="zh-CN" w:bidi="hi-IN"/>
        </w:rPr>
        <w:t xml:space="preserve">Comunidad </w:t>
      </w:r>
      <w:r w:rsidR="00A67B68">
        <w:rPr>
          <w:rFonts w:ascii="Arial" w:eastAsia="SimSun" w:hAnsi="Arial" w:cs="Arial"/>
          <w:kern w:val="3"/>
          <w:lang w:val="es-ES_tradnl" w:eastAsia="zh-CN" w:bidi="hi-IN"/>
        </w:rPr>
        <w:t xml:space="preserve">de Madrid </w:t>
      </w:r>
      <w:r w:rsidRPr="0075724C">
        <w:rPr>
          <w:rFonts w:ascii="Arial" w:eastAsia="SimSun" w:hAnsi="Arial" w:cs="Arial"/>
          <w:kern w:val="3"/>
          <w:lang w:val="es-ES_tradnl" w:eastAsia="zh-CN" w:bidi="hi-IN"/>
        </w:rPr>
        <w:t>entre los diferentes sectores y servicios públicos</w:t>
      </w:r>
      <w:r w:rsidR="00F3541D">
        <w:rPr>
          <w:rFonts w:ascii="Arial" w:eastAsia="SimSun" w:hAnsi="Arial" w:cs="Arial"/>
          <w:kern w:val="3"/>
          <w:lang w:val="es-ES_tradnl" w:eastAsia="zh-CN" w:bidi="hi-IN"/>
        </w:rPr>
        <w:t>,</w:t>
      </w:r>
      <w:r w:rsidRPr="0075724C">
        <w:rPr>
          <w:rFonts w:ascii="Arial" w:eastAsia="SimSun" w:hAnsi="Arial" w:cs="Arial"/>
          <w:kern w:val="3"/>
          <w:lang w:val="es-ES_tradnl" w:eastAsia="zh-CN" w:bidi="hi-IN"/>
        </w:rPr>
        <w:t xml:space="preserve"> y un nuevo contenido relativo a estudios demoscópicos y estadísticos.</w:t>
      </w:r>
    </w:p>
    <w:p w:rsidR="0075724C" w:rsidRPr="0075724C" w:rsidRDefault="0075724C" w:rsidP="0075724C">
      <w:pPr>
        <w:widowControl w:val="0"/>
        <w:suppressAutoHyphens/>
        <w:autoSpaceDN w:val="0"/>
        <w:spacing w:before="240" w:after="0" w:line="240" w:lineRule="auto"/>
        <w:jc w:val="both"/>
        <w:rPr>
          <w:rFonts w:ascii="Arial" w:eastAsia="SimSun" w:hAnsi="Arial" w:cs="Arial"/>
          <w:color w:val="00B050"/>
          <w:kern w:val="3"/>
          <w:lang w:eastAsia="zh-CN" w:bidi="hi-IN"/>
        </w:rPr>
      </w:pPr>
      <w:r w:rsidRPr="0075724C">
        <w:rPr>
          <w:rFonts w:ascii="Arial" w:eastAsia="SimSun" w:hAnsi="Arial" w:cs="Arial"/>
          <w:kern w:val="3"/>
          <w:lang w:eastAsia="zh-CN" w:bidi="hi-IN"/>
        </w:rPr>
        <w:t>En relación con la regulación de la publicidad activa, hay que hacer mención a la Ley 11/2022, de 21 de diciembre, de Medidas Urgentes para el Impulso de la Actividad Económica y la Modernización de la Administración de la Comunidad de Madrid, que ha modificado determinados artículos de la LTPCM, simplificando el contenido de las obligaciones documentales para al</w:t>
      </w:r>
      <w:r w:rsidR="00A67B68">
        <w:rPr>
          <w:rFonts w:ascii="Arial" w:eastAsia="SimSun" w:hAnsi="Arial" w:cs="Arial"/>
          <w:kern w:val="3"/>
          <w:lang w:eastAsia="zh-CN" w:bidi="hi-IN"/>
        </w:rPr>
        <w:t>tos cargos y personal directivo</w:t>
      </w:r>
      <w:r w:rsidRPr="0075724C">
        <w:rPr>
          <w:rFonts w:ascii="Arial" w:eastAsia="SimSun" w:hAnsi="Arial" w:cs="Arial"/>
          <w:kern w:val="3"/>
          <w:lang w:eastAsia="zh-CN" w:bidi="hi-IN"/>
        </w:rPr>
        <w:t xml:space="preserve"> y mejorando la redacción relativa a los gastos protocolarios y a las dietas y gastos de viaje.</w:t>
      </w:r>
    </w:p>
    <w:p w:rsidR="0075724C" w:rsidRPr="0075724C" w:rsidRDefault="0075724C" w:rsidP="0075724C">
      <w:pPr>
        <w:widowControl w:val="0"/>
        <w:suppressAutoHyphens/>
        <w:autoSpaceDN w:val="0"/>
        <w:spacing w:before="240" w:after="0" w:line="240" w:lineRule="auto"/>
        <w:jc w:val="both"/>
        <w:rPr>
          <w:rFonts w:ascii="Arial" w:eastAsia="SimSun" w:hAnsi="Arial" w:cs="Arial"/>
          <w:kern w:val="3"/>
          <w:lang w:eastAsia="zh-CN" w:bidi="hi-IN"/>
        </w:rPr>
      </w:pPr>
      <w:r w:rsidRPr="0075724C">
        <w:rPr>
          <w:rFonts w:ascii="Arial" w:eastAsia="SimSun" w:hAnsi="Arial" w:cs="Arial"/>
          <w:kern w:val="3"/>
          <w:lang w:val="es-ES_tradnl" w:eastAsia="zh-CN" w:bidi="hi-IN"/>
        </w:rPr>
        <w:t>El análisis de cada una de las materias que deben de ser objeto de publicación en el Portal se ha articulado bajo el siguiente planteamiento: definición de la materia, ubicación en el Portal, grado de cumplimiento y, en su caso, posibles mejoras a abordar</w:t>
      </w:r>
      <w:r w:rsidR="00A67B68">
        <w:rPr>
          <w:rFonts w:ascii="Arial" w:eastAsia="SimSun" w:hAnsi="Arial" w:cs="Arial"/>
          <w:kern w:val="3"/>
          <w:lang w:val="es-ES_tradnl" w:eastAsia="zh-CN" w:bidi="hi-IN"/>
        </w:rPr>
        <w:t>.</w:t>
      </w:r>
    </w:p>
    <w:p w:rsidR="00A730EC" w:rsidRDefault="0075724C" w:rsidP="0075724C">
      <w:pPr>
        <w:widowControl w:val="0"/>
        <w:suppressAutoHyphens/>
        <w:autoSpaceDN w:val="0"/>
        <w:spacing w:before="240" w:after="0" w:line="240" w:lineRule="auto"/>
        <w:jc w:val="both"/>
        <w:rPr>
          <w:rFonts w:ascii="Arial" w:eastAsia="SimSun" w:hAnsi="Arial" w:cs="Arial"/>
          <w:kern w:val="3"/>
          <w:lang w:eastAsia="zh-CN" w:bidi="hi-IN"/>
        </w:rPr>
      </w:pPr>
      <w:r w:rsidRPr="0075724C">
        <w:rPr>
          <w:rFonts w:ascii="Arial" w:eastAsia="SimSun" w:hAnsi="Arial" w:cs="Arial"/>
          <w:kern w:val="3"/>
          <w:lang w:eastAsia="zh-CN" w:bidi="hi-IN"/>
        </w:rPr>
        <w:t>J</w:t>
      </w:r>
      <w:r w:rsidR="00A67B68">
        <w:rPr>
          <w:rFonts w:ascii="Arial" w:eastAsia="SimSun" w:hAnsi="Arial" w:cs="Arial"/>
          <w:kern w:val="3"/>
          <w:lang w:eastAsia="zh-CN" w:bidi="hi-IN"/>
        </w:rPr>
        <w:t>unto con el presente i</w:t>
      </w:r>
      <w:r w:rsidRPr="0075724C">
        <w:rPr>
          <w:rFonts w:ascii="Arial" w:eastAsia="SimSun" w:hAnsi="Arial" w:cs="Arial"/>
          <w:kern w:val="3"/>
          <w:lang w:eastAsia="zh-CN" w:bidi="hi-IN"/>
        </w:rPr>
        <w:t xml:space="preserve">nforme, </w:t>
      </w:r>
      <w:r w:rsidR="00A67B68">
        <w:rPr>
          <w:rFonts w:ascii="Arial" w:eastAsia="SimSun" w:hAnsi="Arial" w:cs="Arial"/>
          <w:kern w:val="3"/>
          <w:lang w:eastAsia="zh-CN" w:bidi="hi-IN"/>
        </w:rPr>
        <w:t>se publica una m</w:t>
      </w:r>
      <w:r w:rsidRPr="0075724C">
        <w:rPr>
          <w:rFonts w:ascii="Arial" w:eastAsia="SimSun" w:hAnsi="Arial" w:cs="Arial"/>
          <w:kern w:val="3"/>
          <w:lang w:eastAsia="zh-CN" w:bidi="hi-IN"/>
        </w:rPr>
        <w:t>emoria que recoge el grado de cumplimiento de las obligaciones de publicidad activa de las distintas</w:t>
      </w:r>
      <w:r w:rsidR="00A67B68">
        <w:rPr>
          <w:rFonts w:ascii="Arial" w:eastAsia="SimSun" w:hAnsi="Arial" w:cs="Arial"/>
          <w:kern w:val="3"/>
          <w:lang w:eastAsia="zh-CN" w:bidi="hi-IN"/>
        </w:rPr>
        <w:t xml:space="preserve"> c</w:t>
      </w:r>
      <w:r w:rsidRPr="0075724C">
        <w:rPr>
          <w:rFonts w:ascii="Arial" w:eastAsia="SimSun" w:hAnsi="Arial" w:cs="Arial"/>
          <w:kern w:val="3"/>
          <w:lang w:eastAsia="zh-CN" w:bidi="hi-IN"/>
        </w:rPr>
        <w:t xml:space="preserve">onsejerías en sus respectivos ámbitos. </w:t>
      </w:r>
    </w:p>
    <w:p w:rsidR="0075724C" w:rsidRPr="0075724C" w:rsidRDefault="00A730EC" w:rsidP="00A730EC">
      <w:pPr>
        <w:rPr>
          <w:rFonts w:ascii="Arial" w:eastAsia="SimSun" w:hAnsi="Arial" w:cs="Arial"/>
          <w:kern w:val="3"/>
          <w:lang w:eastAsia="zh-CN" w:bidi="hi-IN"/>
        </w:rPr>
      </w:pPr>
      <w:r>
        <w:rPr>
          <w:rFonts w:ascii="Arial" w:eastAsia="SimSun" w:hAnsi="Arial" w:cs="Arial"/>
          <w:kern w:val="3"/>
          <w:lang w:eastAsia="zh-CN" w:bidi="hi-IN"/>
        </w:rPr>
        <w:br w:type="page"/>
      </w:r>
    </w:p>
    <w:p w:rsidR="00A67B68" w:rsidRPr="00A67B68" w:rsidRDefault="00A67B68" w:rsidP="00A67B68">
      <w:pPr>
        <w:pStyle w:val="Prrafodelista"/>
        <w:keepNext/>
        <w:keepLines/>
        <w:spacing w:before="40" w:after="0" w:line="240" w:lineRule="auto"/>
        <w:ind w:left="0"/>
        <w:outlineLvl w:val="1"/>
        <w:rPr>
          <w:rFonts w:ascii="Arial" w:eastAsiaTheme="majorEastAsia" w:hAnsi="Arial" w:cs="Arial"/>
          <w:b/>
          <w:color w:val="2F5496"/>
          <w:sz w:val="24"/>
          <w:szCs w:val="24"/>
          <w:lang w:val="es-ES_tradnl" w:eastAsia="es-ES_tradnl"/>
        </w:rPr>
      </w:pPr>
      <w:bookmarkStart w:id="6" w:name="_Toc64153807"/>
      <w:r>
        <w:rPr>
          <w:rFonts w:ascii="Arial" w:eastAsiaTheme="majorEastAsia" w:hAnsi="Arial" w:cs="Arial"/>
          <w:b/>
          <w:color w:val="2F5496"/>
          <w:sz w:val="24"/>
          <w:szCs w:val="24"/>
          <w:lang w:val="es-ES_tradnl" w:eastAsia="es-ES_tradnl"/>
        </w:rPr>
        <w:lastRenderedPageBreak/>
        <w:t>2.2</w:t>
      </w:r>
      <w:r w:rsidR="0075724C" w:rsidRPr="00A67B68">
        <w:rPr>
          <w:rFonts w:ascii="Arial" w:eastAsiaTheme="majorEastAsia" w:hAnsi="Arial" w:cs="Arial"/>
          <w:b/>
          <w:color w:val="2F5496"/>
          <w:sz w:val="24"/>
          <w:szCs w:val="24"/>
          <w:lang w:val="es-ES_tradnl" w:eastAsia="es-ES_tradnl"/>
        </w:rPr>
        <w:t xml:space="preserve"> </w:t>
      </w:r>
      <w:bookmarkStart w:id="7" w:name="_Toc98333301"/>
      <w:r w:rsidR="0075724C" w:rsidRPr="00A67B68">
        <w:rPr>
          <w:rFonts w:ascii="Arial" w:eastAsiaTheme="majorEastAsia" w:hAnsi="Arial" w:cs="Arial"/>
          <w:b/>
          <w:color w:val="2F5496"/>
          <w:sz w:val="24"/>
          <w:szCs w:val="24"/>
          <w:lang w:val="es-ES_tradnl" w:eastAsia="es-ES_tradnl"/>
        </w:rPr>
        <w:t>Análisis por materias.</w:t>
      </w:r>
      <w:bookmarkStart w:id="8" w:name="_Toc64153808"/>
      <w:bookmarkStart w:id="9" w:name="_Toc64154132"/>
      <w:bookmarkStart w:id="10" w:name="_Toc64154209"/>
      <w:bookmarkStart w:id="11" w:name="_Toc64243423"/>
      <w:bookmarkStart w:id="12" w:name="_Toc64243603"/>
      <w:bookmarkStart w:id="13" w:name="_Toc64314309"/>
      <w:bookmarkStart w:id="14" w:name="_Toc64314543"/>
      <w:bookmarkStart w:id="15" w:name="_Toc64314632"/>
      <w:bookmarkStart w:id="16" w:name="_Toc98333302"/>
      <w:bookmarkStart w:id="17" w:name="_Toc64153809"/>
      <w:bookmarkStart w:id="18" w:name="_Toc64154133"/>
      <w:bookmarkStart w:id="19" w:name="_Toc64154210"/>
      <w:bookmarkStart w:id="20" w:name="_Toc64243424"/>
      <w:bookmarkStart w:id="21" w:name="_Toc64243604"/>
      <w:bookmarkStart w:id="22" w:name="_Toc64314310"/>
      <w:bookmarkStart w:id="23" w:name="_Toc64314544"/>
      <w:bookmarkStart w:id="24" w:name="_Toc64314633"/>
      <w:bookmarkStart w:id="25" w:name="_Toc98333303"/>
      <w:bookmarkStart w:id="26" w:name="_Toc64153810"/>
      <w:bookmarkStart w:id="27" w:name="_Toc64154134"/>
      <w:bookmarkStart w:id="28" w:name="_Toc64154211"/>
      <w:bookmarkStart w:id="29" w:name="_Toc64243425"/>
      <w:bookmarkStart w:id="30" w:name="_Toc64243605"/>
      <w:bookmarkStart w:id="31" w:name="_Toc64314311"/>
      <w:bookmarkStart w:id="32" w:name="_Toc64314545"/>
      <w:bookmarkStart w:id="33" w:name="_Toc64314634"/>
      <w:bookmarkStart w:id="34" w:name="_Toc98333304"/>
      <w:bookmarkStart w:id="35" w:name="_Toc64153811"/>
      <w:bookmarkStart w:id="36" w:name="_Toc64154135"/>
      <w:bookmarkStart w:id="37" w:name="_Toc64154212"/>
      <w:bookmarkStart w:id="38" w:name="_Toc64243426"/>
      <w:bookmarkStart w:id="39" w:name="_Toc64243606"/>
      <w:bookmarkStart w:id="40" w:name="_Toc64314312"/>
      <w:bookmarkStart w:id="41" w:name="_Toc64314546"/>
      <w:bookmarkStart w:id="42" w:name="_Toc64314635"/>
      <w:bookmarkStart w:id="43" w:name="_Toc98333305"/>
      <w:bookmarkStart w:id="44" w:name="_Toc64153812"/>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75724C" w:rsidRPr="0075724C" w:rsidRDefault="00A67B68" w:rsidP="00A67B68">
      <w:pPr>
        <w:spacing w:before="480" w:after="100" w:afterAutospacing="1" w:line="360" w:lineRule="auto"/>
        <w:ind w:left="720"/>
        <w:outlineLvl w:val="1"/>
        <w:rPr>
          <w:rFonts w:ascii="Arial" w:eastAsia="SimSun" w:hAnsi="Arial" w:cs="Arial"/>
          <w:b/>
          <w:color w:val="2E74B5"/>
          <w:lang w:val="es-ES_tradnl" w:eastAsia="es-ES_tradnl"/>
        </w:rPr>
      </w:pPr>
      <w:r w:rsidRPr="00A67B68">
        <w:rPr>
          <w:rFonts w:ascii="Arial" w:eastAsia="SimSun" w:hAnsi="Arial" w:cs="Arial"/>
          <w:b/>
          <w:color w:val="2E74B5"/>
          <w:lang w:val="es-ES_tradnl" w:eastAsia="es-ES_tradnl"/>
        </w:rPr>
        <w:t>2.2.1</w:t>
      </w:r>
      <w:r w:rsidR="0075724C" w:rsidRPr="0075724C">
        <w:rPr>
          <w:rFonts w:ascii="Arial" w:eastAsia="SimSun" w:hAnsi="Arial" w:cs="Arial"/>
          <w:b/>
          <w:color w:val="2E74B5"/>
          <w:lang w:val="es-ES_tradnl" w:eastAsia="es-ES_tradnl"/>
        </w:rPr>
        <w:t xml:space="preserve"> </w:t>
      </w:r>
      <w:bookmarkStart w:id="45" w:name="_Toc98333306"/>
      <w:r w:rsidR="0075724C" w:rsidRPr="0075724C">
        <w:rPr>
          <w:rFonts w:ascii="Arial" w:eastAsia="SimSun" w:hAnsi="Arial" w:cs="Arial"/>
          <w:b/>
          <w:color w:val="2E74B5"/>
          <w:lang w:val="es-ES_tradnl" w:eastAsia="es-ES_tradnl"/>
        </w:rPr>
        <w:t xml:space="preserve">Información institucional y </w:t>
      </w:r>
      <w:r w:rsidRPr="00A67B68">
        <w:rPr>
          <w:rFonts w:ascii="Arial" w:eastAsia="SimSun" w:hAnsi="Arial" w:cs="Arial"/>
          <w:b/>
          <w:color w:val="2E74B5"/>
          <w:lang w:val="es-ES_tradnl" w:eastAsia="es-ES_tradnl"/>
        </w:rPr>
        <w:t>organizativa.</w:t>
      </w:r>
      <w:bookmarkEnd w:id="44"/>
      <w:bookmarkEnd w:id="45"/>
    </w:p>
    <w:p w:rsidR="0075724C" w:rsidRPr="0075724C" w:rsidRDefault="00B26A3F" w:rsidP="0075724C">
      <w:pPr>
        <w:widowControl w:val="0"/>
        <w:suppressAutoHyphens/>
        <w:autoSpaceDN w:val="0"/>
        <w:spacing w:before="240" w:after="0" w:line="240" w:lineRule="auto"/>
        <w:jc w:val="both"/>
        <w:rPr>
          <w:rFonts w:ascii="Arial" w:eastAsia="SimSun" w:hAnsi="Arial" w:cs="Arial"/>
          <w:kern w:val="3"/>
          <w:lang w:eastAsia="zh-CN" w:bidi="hi-IN"/>
        </w:rPr>
      </w:pPr>
      <w:r>
        <w:rPr>
          <w:rFonts w:ascii="Arial" w:eastAsia="SimSun" w:hAnsi="Arial" w:cs="Arial"/>
          <w:kern w:val="3"/>
          <w:lang w:eastAsia="zh-CN" w:bidi="hi-IN"/>
        </w:rPr>
        <w:t>La l</w:t>
      </w:r>
      <w:r w:rsidR="0075724C" w:rsidRPr="0075724C">
        <w:rPr>
          <w:rFonts w:ascii="Arial" w:eastAsia="SimSun" w:hAnsi="Arial" w:cs="Arial"/>
          <w:kern w:val="3"/>
          <w:lang w:eastAsia="zh-CN" w:bidi="hi-IN"/>
        </w:rPr>
        <w:t xml:space="preserve">ey exige la publicación de información institucional y organizativa, de tal forma que se ofrezca una visión sobre el modo en que están organizadas la Administración y sus entidades. Se hace referencia a </w:t>
      </w:r>
      <w:r w:rsidRPr="0075724C">
        <w:rPr>
          <w:rFonts w:ascii="Arial" w:eastAsia="SimSun" w:hAnsi="Arial" w:cs="Arial"/>
          <w:kern w:val="3"/>
          <w:lang w:eastAsia="zh-CN" w:bidi="hi-IN"/>
        </w:rPr>
        <w:t xml:space="preserve">diversos </w:t>
      </w:r>
      <w:r w:rsidR="0075724C" w:rsidRPr="0075724C">
        <w:rPr>
          <w:rFonts w:ascii="Arial" w:eastAsia="SimSun" w:hAnsi="Arial" w:cs="Arial"/>
          <w:kern w:val="3"/>
          <w:lang w:eastAsia="zh-CN" w:bidi="hi-IN"/>
        </w:rPr>
        <w:t>ámbitos como la institución y sus</w:t>
      </w:r>
      <w:r>
        <w:rPr>
          <w:rFonts w:ascii="Arial" w:eastAsia="SimSun" w:hAnsi="Arial" w:cs="Arial"/>
          <w:kern w:val="3"/>
          <w:lang w:eastAsia="zh-CN" w:bidi="hi-IN"/>
        </w:rPr>
        <w:t xml:space="preserve"> funciones, funcionamiento del G</w:t>
      </w:r>
      <w:r w:rsidR="0075724C" w:rsidRPr="0075724C">
        <w:rPr>
          <w:rFonts w:ascii="Arial" w:eastAsia="SimSun" w:hAnsi="Arial" w:cs="Arial"/>
          <w:kern w:val="3"/>
          <w:lang w:eastAsia="zh-CN" w:bidi="hi-IN"/>
        </w:rPr>
        <w:t>obierno, relación de sujetos obligados</w:t>
      </w:r>
      <w:r>
        <w:rPr>
          <w:rFonts w:ascii="Arial" w:eastAsia="SimSun" w:hAnsi="Arial" w:cs="Arial"/>
          <w:kern w:val="3"/>
          <w:lang w:eastAsia="zh-CN" w:bidi="hi-IN"/>
        </w:rPr>
        <w:t xml:space="preserve"> por la l</w:t>
      </w:r>
      <w:r w:rsidR="0075724C" w:rsidRPr="0075724C">
        <w:rPr>
          <w:rFonts w:ascii="Arial" w:eastAsia="SimSun" w:hAnsi="Arial" w:cs="Arial"/>
          <w:kern w:val="3"/>
          <w:lang w:eastAsia="zh-CN" w:bidi="hi-IN"/>
        </w:rPr>
        <w:t xml:space="preserve">ey, así como la publicación de agendas de reuniones. </w:t>
      </w:r>
    </w:p>
    <w:p w:rsidR="0075724C" w:rsidRPr="0075724C" w:rsidRDefault="0075724C" w:rsidP="0075724C">
      <w:pPr>
        <w:widowControl w:val="0"/>
        <w:suppressAutoHyphens/>
        <w:autoSpaceDN w:val="0"/>
        <w:spacing w:before="240" w:after="0" w:line="240" w:lineRule="auto"/>
        <w:jc w:val="both"/>
        <w:rPr>
          <w:rFonts w:ascii="Arial" w:eastAsia="SimSun" w:hAnsi="Arial" w:cs="Arial"/>
          <w:kern w:val="3"/>
          <w:lang w:eastAsia="zh-CN" w:bidi="hi-IN"/>
        </w:rPr>
      </w:pPr>
      <w:r w:rsidRPr="0075724C">
        <w:rPr>
          <w:rFonts w:ascii="Arial" w:eastAsia="SimSun" w:hAnsi="Arial" w:cs="Arial"/>
          <w:kern w:val="3"/>
          <w:lang w:eastAsia="zh-CN" w:bidi="hi-IN"/>
        </w:rPr>
        <w:t xml:space="preserve">Esta información está publicada dentro de los apartados “Transparencia en la Comunidad” y “Organización y recursos”, </w:t>
      </w:r>
      <w:r w:rsidR="00E26745">
        <w:rPr>
          <w:rFonts w:ascii="Arial" w:eastAsia="SimSun" w:hAnsi="Arial" w:cs="Arial"/>
          <w:kern w:val="3"/>
          <w:lang w:eastAsia="zh-CN" w:bidi="hi-IN"/>
        </w:rPr>
        <w:t>en los que</w:t>
      </w:r>
      <w:r w:rsidRPr="0075724C">
        <w:rPr>
          <w:rFonts w:ascii="Arial" w:eastAsia="SimSun" w:hAnsi="Arial" w:cs="Arial"/>
          <w:kern w:val="3"/>
          <w:lang w:eastAsia="zh-CN" w:bidi="hi-IN"/>
        </w:rPr>
        <w:t xml:space="preserve"> se mantiene actualizada la información relativa a la estructura organizativa de la Administración, detallando su composición, funciones y competencias. En este ámbito material, la información se actualiza de manera c</w:t>
      </w:r>
      <w:r w:rsidR="007E5914">
        <w:rPr>
          <w:rFonts w:ascii="Arial" w:eastAsia="SimSun" w:hAnsi="Arial" w:cs="Arial"/>
          <w:kern w:val="3"/>
          <w:lang w:eastAsia="zh-CN" w:bidi="hi-IN"/>
        </w:rPr>
        <w:t>ontinua, incorporándose en el P</w:t>
      </w:r>
      <w:r w:rsidRPr="0075724C">
        <w:rPr>
          <w:rFonts w:ascii="Arial" w:eastAsia="SimSun" w:hAnsi="Arial" w:cs="Arial"/>
          <w:kern w:val="3"/>
          <w:lang w:eastAsia="zh-CN" w:bidi="hi-IN"/>
        </w:rPr>
        <w:t>ortal cualquier novedad que se produzca tras su publicación en el Boletín Oficial de la Comunidad de Madrid.</w:t>
      </w:r>
    </w:p>
    <w:p w:rsidR="0075724C" w:rsidRPr="0075724C" w:rsidRDefault="0075724C" w:rsidP="0075724C">
      <w:pPr>
        <w:widowControl w:val="0"/>
        <w:suppressAutoHyphens/>
        <w:autoSpaceDN w:val="0"/>
        <w:spacing w:before="240" w:after="0" w:line="240" w:lineRule="auto"/>
        <w:jc w:val="both"/>
        <w:rPr>
          <w:rFonts w:ascii="Arial" w:eastAsia="SimSun" w:hAnsi="Arial" w:cs="Arial"/>
          <w:kern w:val="3"/>
          <w:lang w:eastAsia="zh-CN" w:bidi="hi-IN"/>
        </w:rPr>
      </w:pPr>
      <w:r w:rsidRPr="0075724C">
        <w:rPr>
          <w:rFonts w:ascii="Arial" w:eastAsia="SimSun" w:hAnsi="Arial" w:cs="Arial"/>
          <w:kern w:val="3"/>
          <w:lang w:eastAsia="zh-CN" w:bidi="hi-IN"/>
        </w:rPr>
        <w:t xml:space="preserve">Se publica, asimismo, la información relativa a los órganos colegiados adscritos a las distintas </w:t>
      </w:r>
      <w:r w:rsidR="000E474B">
        <w:rPr>
          <w:rFonts w:ascii="Arial" w:eastAsia="SimSun" w:hAnsi="Arial" w:cs="Arial"/>
          <w:kern w:val="3"/>
          <w:lang w:eastAsia="zh-CN" w:bidi="hi-IN"/>
        </w:rPr>
        <w:t>c</w:t>
      </w:r>
      <w:r w:rsidR="00255CDA">
        <w:rPr>
          <w:rFonts w:ascii="Arial" w:eastAsia="SimSun" w:hAnsi="Arial" w:cs="Arial"/>
          <w:kern w:val="3"/>
          <w:lang w:eastAsia="zh-CN" w:bidi="hi-IN"/>
        </w:rPr>
        <w:t>onsejerías</w:t>
      </w:r>
      <w:r w:rsidRPr="0075724C">
        <w:rPr>
          <w:rFonts w:ascii="Arial" w:eastAsia="SimSun" w:hAnsi="Arial" w:cs="Arial"/>
          <w:kern w:val="3"/>
          <w:lang w:eastAsia="zh-CN" w:bidi="hi-IN"/>
        </w:rPr>
        <w:t>, con su ficha de unidad organizativa, que incluye responsables, competencias, normativa y composición.</w:t>
      </w:r>
    </w:p>
    <w:p w:rsidR="0075724C" w:rsidRPr="0075724C" w:rsidRDefault="0075724C" w:rsidP="0075724C">
      <w:pPr>
        <w:widowControl w:val="0"/>
        <w:suppressAutoHyphens/>
        <w:autoSpaceDN w:val="0"/>
        <w:spacing w:before="240" w:after="0" w:line="240" w:lineRule="auto"/>
        <w:jc w:val="both"/>
        <w:rPr>
          <w:rFonts w:ascii="Arial" w:eastAsia="SimSun" w:hAnsi="Arial" w:cs="Arial"/>
          <w:kern w:val="3"/>
          <w:lang w:eastAsia="zh-CN" w:bidi="hi-IN"/>
        </w:rPr>
      </w:pPr>
      <w:r w:rsidRPr="0075724C">
        <w:rPr>
          <w:rFonts w:ascii="Arial" w:eastAsia="SimSun" w:hAnsi="Arial" w:cs="Arial"/>
          <w:kern w:val="3"/>
          <w:lang w:eastAsia="zh-CN" w:bidi="hi-IN"/>
        </w:rPr>
        <w:t xml:space="preserve">Las entidades vinculadas o dependientes de la Comunidad de Madrid publican la información exigida por la LTPCM, bien en sus propias páginas web, bien en el Portal de Transparencia de la Comunidad de Madrid. Esta información se puede localizar en el apartado del Portal denominado </w:t>
      </w:r>
      <w:r w:rsidR="006407AA">
        <w:rPr>
          <w:rFonts w:ascii="Arial" w:eastAsia="SimSun" w:hAnsi="Arial" w:cs="Arial"/>
          <w:kern w:val="3"/>
          <w:lang w:eastAsia="zh-CN" w:bidi="hi-IN"/>
        </w:rPr>
        <w:t>“S</w:t>
      </w:r>
      <w:r w:rsidRPr="0075724C">
        <w:rPr>
          <w:rFonts w:ascii="Arial" w:eastAsia="SimSun" w:hAnsi="Arial" w:cs="Arial"/>
          <w:kern w:val="3"/>
          <w:lang w:eastAsia="zh-CN" w:bidi="hi-IN"/>
        </w:rPr>
        <w:t>ujetos obligados</w:t>
      </w:r>
      <w:r w:rsidR="006407AA">
        <w:rPr>
          <w:rFonts w:ascii="Arial" w:eastAsia="SimSun" w:hAnsi="Arial" w:cs="Arial"/>
          <w:kern w:val="3"/>
          <w:lang w:eastAsia="zh-CN" w:bidi="hi-IN"/>
        </w:rPr>
        <w:t>”</w:t>
      </w:r>
      <w:r w:rsidRPr="0075724C">
        <w:rPr>
          <w:rFonts w:ascii="Arial" w:eastAsia="SimSun" w:hAnsi="Arial" w:cs="Arial"/>
          <w:kern w:val="3"/>
          <w:lang w:eastAsia="zh-CN" w:bidi="hi-IN"/>
        </w:rPr>
        <w:t xml:space="preserve">. </w:t>
      </w:r>
    </w:p>
    <w:p w:rsidR="0075724C" w:rsidRPr="0075724C" w:rsidRDefault="0075724C" w:rsidP="0075724C">
      <w:pPr>
        <w:widowControl w:val="0"/>
        <w:suppressAutoHyphens/>
        <w:autoSpaceDN w:val="0"/>
        <w:spacing w:before="240" w:after="0" w:line="240" w:lineRule="auto"/>
        <w:jc w:val="both"/>
        <w:rPr>
          <w:rFonts w:ascii="Arial" w:eastAsia="SimSun" w:hAnsi="Arial" w:cs="Arial"/>
          <w:kern w:val="3"/>
          <w:lang w:eastAsia="zh-CN" w:bidi="hi-IN"/>
        </w:rPr>
      </w:pPr>
      <w:r w:rsidRPr="0075724C">
        <w:rPr>
          <w:rFonts w:ascii="Arial" w:eastAsia="SimSun" w:hAnsi="Arial" w:cs="Arial"/>
          <w:kern w:val="3"/>
          <w:lang w:eastAsia="zh-CN" w:bidi="hi-IN"/>
        </w:rPr>
        <w:t>En el contenido “Sector Público Autonómico” aparecen las entidades recogidas en la Ley 4/2021, de 23 de diciembre, de Presupuestos Generales de la Comunidad de Madrid</w:t>
      </w:r>
      <w:r w:rsidR="006407AA">
        <w:rPr>
          <w:rFonts w:ascii="Arial" w:eastAsia="SimSun" w:hAnsi="Arial" w:cs="Arial"/>
          <w:kern w:val="3"/>
          <w:lang w:eastAsia="zh-CN" w:bidi="hi-IN"/>
        </w:rPr>
        <w:t xml:space="preserve"> para 2022, agrupadas por tipo: </w:t>
      </w:r>
      <w:r w:rsidRPr="0075724C">
        <w:rPr>
          <w:rFonts w:ascii="Arial" w:eastAsia="SimSun" w:hAnsi="Arial" w:cs="Arial"/>
          <w:kern w:val="3"/>
          <w:lang w:eastAsia="zh-CN" w:bidi="hi-IN"/>
        </w:rPr>
        <w:t>empresas públicas, fundac</w:t>
      </w:r>
      <w:r w:rsidR="006407AA">
        <w:rPr>
          <w:rFonts w:ascii="Arial" w:eastAsia="SimSun" w:hAnsi="Arial" w:cs="Arial"/>
          <w:kern w:val="3"/>
          <w:lang w:eastAsia="zh-CN" w:bidi="hi-IN"/>
        </w:rPr>
        <w:t>iones, consorcios y otros entes</w:t>
      </w:r>
      <w:r w:rsidRPr="0075724C">
        <w:rPr>
          <w:rFonts w:ascii="Arial" w:eastAsia="SimSun" w:hAnsi="Arial" w:cs="Arial"/>
          <w:kern w:val="3"/>
          <w:lang w:eastAsia="zh-CN" w:bidi="hi-IN"/>
        </w:rPr>
        <w:t>. Con esta publicación se ha pretendido hacer más accesible la información al presentar estas entidades agrupadas en un único punto y ordenadas por categorías, y</w:t>
      </w:r>
      <w:r w:rsidR="006407AA">
        <w:rPr>
          <w:rFonts w:ascii="Arial" w:eastAsia="SimSun" w:hAnsi="Arial" w:cs="Arial"/>
          <w:kern w:val="3"/>
          <w:lang w:eastAsia="zh-CN" w:bidi="hi-IN"/>
        </w:rPr>
        <w:t>,</w:t>
      </w:r>
      <w:r w:rsidRPr="0075724C">
        <w:rPr>
          <w:rFonts w:ascii="Arial" w:eastAsia="SimSun" w:hAnsi="Arial" w:cs="Arial"/>
          <w:kern w:val="3"/>
          <w:lang w:eastAsia="zh-CN" w:bidi="hi-IN"/>
        </w:rPr>
        <w:t xml:space="preserve"> al mismo tiempo, se ha descargado el volumen de información que se present</w:t>
      </w:r>
      <w:r w:rsidR="006407AA">
        <w:rPr>
          <w:rFonts w:ascii="Arial" w:eastAsia="SimSun" w:hAnsi="Arial" w:cs="Arial"/>
          <w:kern w:val="3"/>
          <w:lang w:eastAsia="zh-CN" w:bidi="hi-IN"/>
        </w:rPr>
        <w:t>aba en la organización de cada c</w:t>
      </w:r>
      <w:r w:rsidRPr="0075724C">
        <w:rPr>
          <w:rFonts w:ascii="Arial" w:eastAsia="SimSun" w:hAnsi="Arial" w:cs="Arial"/>
          <w:kern w:val="3"/>
          <w:lang w:eastAsia="zh-CN" w:bidi="hi-IN"/>
        </w:rPr>
        <w:t>onsejería. Este contenido, unido al de sujetos obligados, completa y recoge el á</w:t>
      </w:r>
      <w:r w:rsidR="006407AA">
        <w:rPr>
          <w:rFonts w:ascii="Arial" w:eastAsia="SimSun" w:hAnsi="Arial" w:cs="Arial"/>
          <w:kern w:val="3"/>
          <w:lang w:eastAsia="zh-CN" w:bidi="hi-IN"/>
        </w:rPr>
        <w:t>mbito subjetivo definido en la l</w:t>
      </w:r>
      <w:r w:rsidRPr="0075724C">
        <w:rPr>
          <w:rFonts w:ascii="Arial" w:eastAsia="SimSun" w:hAnsi="Arial" w:cs="Arial"/>
          <w:kern w:val="3"/>
          <w:lang w:eastAsia="zh-CN" w:bidi="hi-IN"/>
        </w:rPr>
        <w:t xml:space="preserve">ey prácticamente en su totalidad. </w:t>
      </w:r>
    </w:p>
    <w:p w:rsidR="00134F50" w:rsidRPr="00134F50" w:rsidRDefault="0075724C" w:rsidP="00134F50">
      <w:pPr>
        <w:widowControl w:val="0"/>
        <w:suppressAutoHyphens/>
        <w:autoSpaceDN w:val="0"/>
        <w:spacing w:before="240" w:after="0" w:line="240" w:lineRule="auto"/>
        <w:jc w:val="both"/>
        <w:rPr>
          <w:rFonts w:ascii="Arial" w:eastAsia="SimSun" w:hAnsi="Arial" w:cs="Arial"/>
          <w:kern w:val="3"/>
          <w:lang w:eastAsia="zh-CN" w:bidi="hi-IN"/>
        </w:rPr>
      </w:pPr>
      <w:r w:rsidRPr="0075724C">
        <w:rPr>
          <w:rFonts w:ascii="Arial" w:eastAsia="SimSun" w:hAnsi="Arial" w:cs="Arial"/>
          <w:kern w:val="3"/>
          <w:lang w:eastAsia="zh-CN" w:bidi="hi-IN"/>
        </w:rPr>
        <w:t>En relación con los sujetos obligados re</w:t>
      </w:r>
      <w:r w:rsidR="006407AA">
        <w:rPr>
          <w:rFonts w:ascii="Arial" w:eastAsia="SimSun" w:hAnsi="Arial" w:cs="Arial"/>
          <w:kern w:val="3"/>
          <w:lang w:eastAsia="zh-CN" w:bidi="hi-IN"/>
        </w:rPr>
        <w:t>feridos en el artículo 3 de la l</w:t>
      </w:r>
      <w:r w:rsidRPr="0075724C">
        <w:rPr>
          <w:rFonts w:ascii="Arial" w:eastAsia="SimSun" w:hAnsi="Arial" w:cs="Arial"/>
          <w:kern w:val="3"/>
          <w:lang w:eastAsia="zh-CN" w:bidi="hi-IN"/>
        </w:rPr>
        <w:t>ey, anualmente se actualiza el listado de las entidades privadas que perciben ayudas o subvenciones de la Administración de la Comunidad de Madrid en una cuantía superior a 60</w:t>
      </w:r>
      <w:r w:rsidR="007B0525">
        <w:rPr>
          <w:rFonts w:ascii="Arial" w:eastAsia="SimSun" w:hAnsi="Arial" w:cs="Arial"/>
          <w:kern w:val="3"/>
          <w:lang w:eastAsia="zh-CN" w:bidi="hi-IN"/>
        </w:rPr>
        <w:t> </w:t>
      </w:r>
      <w:r w:rsidRPr="0075724C">
        <w:rPr>
          <w:rFonts w:ascii="Arial" w:eastAsia="SimSun" w:hAnsi="Arial" w:cs="Arial"/>
          <w:kern w:val="3"/>
          <w:lang w:eastAsia="zh-CN" w:bidi="hi-IN"/>
        </w:rPr>
        <w:t>000 euros, así como aquellas entidades que participan en la prestación de servicios públicos de sanidad, educación y servicios sociales.</w:t>
      </w:r>
      <w:bookmarkStart w:id="46" w:name="_Toc64153814"/>
      <w:bookmarkStart w:id="47" w:name="_Toc98333307"/>
    </w:p>
    <w:p w:rsidR="0075724C" w:rsidRPr="00134F50" w:rsidRDefault="0075724C" w:rsidP="00134F50">
      <w:pPr>
        <w:pStyle w:val="Prrafodelista"/>
        <w:numPr>
          <w:ilvl w:val="2"/>
          <w:numId w:val="17"/>
        </w:numPr>
        <w:spacing w:before="480" w:after="100" w:afterAutospacing="1" w:line="360" w:lineRule="auto"/>
        <w:ind w:left="1134" w:hanging="425"/>
        <w:outlineLvl w:val="1"/>
        <w:rPr>
          <w:rFonts w:ascii="Arial" w:eastAsia="SimSun" w:hAnsi="Arial" w:cs="Arial"/>
          <w:b/>
          <w:color w:val="2E74B5"/>
          <w:lang w:val="es-ES_tradnl" w:eastAsia="es-ES_tradnl"/>
        </w:rPr>
      </w:pPr>
      <w:r w:rsidRPr="00134F50">
        <w:rPr>
          <w:rFonts w:ascii="Arial" w:eastAsia="SimSun" w:hAnsi="Arial" w:cs="Arial"/>
          <w:b/>
          <w:color w:val="2E74B5"/>
          <w:lang w:val="es-ES_tradnl" w:eastAsia="es-ES_tradnl"/>
        </w:rPr>
        <w:t>Información relativa a altos cargos y personal directivo.</w:t>
      </w:r>
      <w:bookmarkEnd w:id="46"/>
      <w:bookmarkEnd w:id="47"/>
    </w:p>
    <w:p w:rsidR="0075724C" w:rsidRPr="0075724C" w:rsidRDefault="006407AA" w:rsidP="0020703C">
      <w:pPr>
        <w:widowControl w:val="0"/>
        <w:suppressAutoHyphens/>
        <w:autoSpaceDN w:val="0"/>
        <w:spacing w:before="240" w:after="0" w:line="240" w:lineRule="auto"/>
        <w:jc w:val="both"/>
        <w:rPr>
          <w:rFonts w:ascii="Arial" w:eastAsia="SimSun" w:hAnsi="Arial" w:cs="Arial"/>
          <w:kern w:val="3"/>
          <w:lang w:eastAsia="zh-CN" w:bidi="hi-IN"/>
        </w:rPr>
      </w:pPr>
      <w:r>
        <w:rPr>
          <w:rFonts w:ascii="Arial" w:eastAsia="SimSun" w:hAnsi="Arial" w:cs="Arial"/>
          <w:kern w:val="3"/>
          <w:lang w:eastAsia="zh-CN" w:bidi="hi-IN"/>
        </w:rPr>
        <w:t>La l</w:t>
      </w:r>
      <w:r w:rsidR="0075724C" w:rsidRPr="0075724C">
        <w:rPr>
          <w:rFonts w:ascii="Arial" w:eastAsia="SimSun" w:hAnsi="Arial" w:cs="Arial"/>
          <w:kern w:val="3"/>
          <w:lang w:eastAsia="zh-CN" w:bidi="hi-IN"/>
        </w:rPr>
        <w:t>ey establece la obligación de publicar información completa sobre altos cargos y personal directivo, referida a su trayectoria profesional previa, situación patrimonial y actividades que pueden compatibilizar con el cargo público. Se encuentra publicada en la pestaña “Organización y recursos” con un apartado destinado a los “altos cargos”.</w:t>
      </w:r>
    </w:p>
    <w:p w:rsidR="009A5956" w:rsidRDefault="009A5956">
      <w:pPr>
        <w:rPr>
          <w:rFonts w:ascii="Arial" w:eastAsia="SimSun" w:hAnsi="Arial" w:cs="Arial"/>
          <w:kern w:val="3"/>
          <w:lang w:eastAsia="zh-CN" w:bidi="hi-IN"/>
        </w:rPr>
      </w:pPr>
      <w:r>
        <w:rPr>
          <w:rFonts w:ascii="Arial" w:eastAsia="SimSun" w:hAnsi="Arial" w:cs="Arial"/>
          <w:kern w:val="3"/>
          <w:lang w:eastAsia="zh-CN" w:bidi="hi-IN"/>
        </w:rPr>
        <w:br w:type="page"/>
      </w:r>
    </w:p>
    <w:p w:rsidR="0075724C" w:rsidRPr="0075724C" w:rsidRDefault="0075724C" w:rsidP="0075724C">
      <w:pPr>
        <w:widowControl w:val="0"/>
        <w:suppressAutoHyphens/>
        <w:autoSpaceDN w:val="0"/>
        <w:spacing w:before="240" w:after="0" w:line="240" w:lineRule="auto"/>
        <w:jc w:val="both"/>
        <w:rPr>
          <w:rFonts w:ascii="Arial" w:eastAsia="SimSun" w:hAnsi="Arial" w:cs="Arial"/>
          <w:kern w:val="3"/>
          <w:lang w:eastAsia="zh-CN" w:bidi="hi-IN"/>
        </w:rPr>
      </w:pPr>
      <w:r w:rsidRPr="0075724C">
        <w:rPr>
          <w:rFonts w:ascii="Arial" w:eastAsia="SimSun" w:hAnsi="Arial" w:cs="Arial"/>
          <w:kern w:val="3"/>
          <w:lang w:eastAsia="zh-CN" w:bidi="hi-IN"/>
        </w:rPr>
        <w:lastRenderedPageBreak/>
        <w:t>Se ha creado una ficha individual para cada alto cargo o personal directivo, donde se recoge tod</w:t>
      </w:r>
      <w:r w:rsidR="0014226A">
        <w:rPr>
          <w:rFonts w:ascii="Arial" w:eastAsia="SimSun" w:hAnsi="Arial" w:cs="Arial"/>
          <w:kern w:val="3"/>
          <w:lang w:eastAsia="zh-CN" w:bidi="hi-IN"/>
        </w:rPr>
        <w:t>a la información exigida en la l</w:t>
      </w:r>
      <w:r w:rsidRPr="0075724C">
        <w:rPr>
          <w:rFonts w:ascii="Arial" w:eastAsia="SimSun" w:hAnsi="Arial" w:cs="Arial"/>
          <w:kern w:val="3"/>
          <w:lang w:eastAsia="zh-CN" w:bidi="hi-IN"/>
        </w:rPr>
        <w:t xml:space="preserve">ey: datos identificativos y de contacto, perfil profesional, funciones, órganos colegiados de los que es miembro, su agenda, relación de gastos protocolarios, dietas y gastos de viaje y declaración de bienes, derechos y actividades. </w:t>
      </w:r>
    </w:p>
    <w:p w:rsidR="0075724C" w:rsidRPr="0075724C" w:rsidRDefault="0075724C" w:rsidP="0075724C">
      <w:pPr>
        <w:widowControl w:val="0"/>
        <w:suppressAutoHyphens/>
        <w:autoSpaceDN w:val="0"/>
        <w:spacing w:before="240" w:after="0" w:line="240" w:lineRule="auto"/>
        <w:jc w:val="both"/>
        <w:rPr>
          <w:rFonts w:ascii="Arial" w:eastAsia="SimSun" w:hAnsi="Arial" w:cs="Arial"/>
          <w:kern w:val="3"/>
          <w:lang w:eastAsia="zh-CN" w:bidi="hi-IN"/>
        </w:rPr>
      </w:pPr>
      <w:r w:rsidRPr="0075724C">
        <w:rPr>
          <w:rFonts w:ascii="Arial" w:eastAsia="SimSun" w:hAnsi="Arial" w:cs="Arial"/>
          <w:kern w:val="3"/>
          <w:lang w:eastAsia="zh-CN" w:bidi="hi-IN"/>
        </w:rPr>
        <w:t>La información recogida en estas fichas individuales ha sido objeto de actualización a lo largo del año</w:t>
      </w:r>
      <w:r w:rsidRPr="0075724C">
        <w:rPr>
          <w:rFonts w:ascii="Arial" w:eastAsia="SimSun" w:hAnsi="Arial" w:cs="Arial"/>
          <w:color w:val="00B050"/>
          <w:kern w:val="3"/>
          <w:lang w:eastAsia="zh-CN" w:bidi="hi-IN"/>
        </w:rPr>
        <w:t>.</w:t>
      </w:r>
    </w:p>
    <w:p w:rsidR="0075724C" w:rsidRPr="0020703C" w:rsidRDefault="0075724C" w:rsidP="00134F50">
      <w:pPr>
        <w:pStyle w:val="Prrafodelista"/>
        <w:numPr>
          <w:ilvl w:val="2"/>
          <w:numId w:val="18"/>
        </w:numPr>
        <w:tabs>
          <w:tab w:val="left" w:pos="1276"/>
        </w:tabs>
        <w:spacing w:before="480" w:after="100" w:afterAutospacing="1" w:line="360" w:lineRule="auto"/>
        <w:ind w:left="1560" w:hanging="851"/>
        <w:outlineLvl w:val="1"/>
        <w:rPr>
          <w:rFonts w:ascii="Arial" w:eastAsia="SimSun" w:hAnsi="Arial" w:cs="Arial"/>
          <w:b/>
          <w:color w:val="2E74B5"/>
          <w:lang w:val="es-ES_tradnl" w:eastAsia="es-ES_tradnl"/>
        </w:rPr>
      </w:pPr>
      <w:bookmarkStart w:id="48" w:name="_Toc64153815"/>
      <w:bookmarkStart w:id="49" w:name="_Toc98333308"/>
      <w:r w:rsidRPr="0020703C">
        <w:rPr>
          <w:rFonts w:ascii="Arial" w:eastAsia="SimSun" w:hAnsi="Arial" w:cs="Arial"/>
          <w:b/>
          <w:color w:val="2E74B5"/>
          <w:lang w:val="es-ES_tradnl" w:eastAsia="es-ES_tradnl"/>
        </w:rPr>
        <w:t>Información relativa a personal eventual.</w:t>
      </w:r>
      <w:bookmarkEnd w:id="48"/>
      <w:bookmarkEnd w:id="49"/>
    </w:p>
    <w:p w:rsidR="0075724C" w:rsidRPr="0075724C" w:rsidRDefault="0075724C" w:rsidP="0075724C">
      <w:pPr>
        <w:widowControl w:val="0"/>
        <w:suppressAutoHyphens/>
        <w:autoSpaceDN w:val="0"/>
        <w:spacing w:before="240" w:after="0" w:line="240" w:lineRule="auto"/>
        <w:jc w:val="both"/>
        <w:rPr>
          <w:rFonts w:ascii="Arial" w:eastAsia="SimSun" w:hAnsi="Arial" w:cs="Arial"/>
          <w:kern w:val="3"/>
          <w:lang w:eastAsia="zh-CN" w:bidi="hi-IN"/>
        </w:rPr>
      </w:pPr>
      <w:r w:rsidRPr="0075724C">
        <w:rPr>
          <w:rFonts w:ascii="Arial" w:eastAsia="SimSun" w:hAnsi="Arial" w:cs="Arial"/>
          <w:kern w:val="3"/>
          <w:lang w:eastAsia="zh-CN" w:bidi="hi-IN"/>
        </w:rPr>
        <w:t>Se exige la publicación de información completa del personal eventual, es decir, aquel personal que es nombrado, con carácter no permanente, para realizar funciones de confianza o asesoramiento especial de los altos cargos de la Administración. Esta información se encuentra publicada en la pestaña “Organización y recursos”, en el apartado “pers</w:t>
      </w:r>
      <w:r w:rsidR="0020703C">
        <w:rPr>
          <w:rFonts w:ascii="Arial" w:eastAsia="SimSun" w:hAnsi="Arial" w:cs="Arial"/>
          <w:kern w:val="3"/>
          <w:lang w:eastAsia="zh-CN" w:bidi="hi-IN"/>
        </w:rPr>
        <w:t>onal eventual”, organizada por c</w:t>
      </w:r>
      <w:r w:rsidRPr="0075724C">
        <w:rPr>
          <w:rFonts w:ascii="Arial" w:eastAsia="SimSun" w:hAnsi="Arial" w:cs="Arial"/>
          <w:kern w:val="3"/>
          <w:lang w:eastAsia="zh-CN" w:bidi="hi-IN"/>
        </w:rPr>
        <w:t>onsejerías, y dentro de cada una, el personal eventual se presenta agrupado en jefe de gabinete, asesores, secretaría y conductores.</w:t>
      </w:r>
    </w:p>
    <w:p w:rsidR="0075724C" w:rsidRPr="0075724C" w:rsidRDefault="0075724C" w:rsidP="0075724C">
      <w:pPr>
        <w:widowControl w:val="0"/>
        <w:suppressAutoHyphens/>
        <w:autoSpaceDN w:val="0"/>
        <w:spacing w:before="240" w:after="0" w:line="240" w:lineRule="auto"/>
        <w:jc w:val="both"/>
        <w:rPr>
          <w:rFonts w:ascii="Arial" w:eastAsia="SimSun" w:hAnsi="Arial" w:cs="Arial"/>
          <w:kern w:val="3"/>
          <w:lang w:eastAsia="zh-CN" w:bidi="hi-IN"/>
        </w:rPr>
      </w:pPr>
      <w:r w:rsidRPr="0075724C">
        <w:rPr>
          <w:rFonts w:ascii="Arial" w:eastAsia="SimSun" w:hAnsi="Arial" w:cs="Arial"/>
          <w:kern w:val="3"/>
          <w:lang w:eastAsia="zh-CN" w:bidi="hi-IN"/>
        </w:rPr>
        <w:t>Al igual que la información relativa a altos cargos, se han actualizado las fichas del personal eventual ofreciendo</w:t>
      </w:r>
      <w:r w:rsidR="008A5059">
        <w:rPr>
          <w:rFonts w:ascii="Arial" w:eastAsia="SimSun" w:hAnsi="Arial" w:cs="Arial"/>
          <w:kern w:val="3"/>
          <w:lang w:eastAsia="zh-CN" w:bidi="hi-IN"/>
        </w:rPr>
        <w:t>,</w:t>
      </w:r>
      <w:r w:rsidRPr="0075724C">
        <w:rPr>
          <w:rFonts w:ascii="Arial" w:eastAsia="SimSun" w:hAnsi="Arial" w:cs="Arial"/>
          <w:kern w:val="3"/>
          <w:lang w:eastAsia="zh-CN" w:bidi="hi-IN"/>
        </w:rPr>
        <w:t xml:space="preserve"> asimismo</w:t>
      </w:r>
      <w:r w:rsidR="008A5059">
        <w:rPr>
          <w:rFonts w:ascii="Arial" w:eastAsia="SimSun" w:hAnsi="Arial" w:cs="Arial"/>
          <w:kern w:val="3"/>
          <w:lang w:eastAsia="zh-CN" w:bidi="hi-IN"/>
        </w:rPr>
        <w:t>,</w:t>
      </w:r>
      <w:r w:rsidRPr="0075724C">
        <w:rPr>
          <w:rFonts w:ascii="Arial" w:eastAsia="SimSun" w:hAnsi="Arial" w:cs="Arial"/>
          <w:kern w:val="3"/>
          <w:lang w:eastAsia="zh-CN" w:bidi="hi-IN"/>
        </w:rPr>
        <w:t xml:space="preserve"> información sobre su perfil profesional, funciones y retribuciones. En esta materia cabe destacar la homogeneización en la descripción de sus funciones.</w:t>
      </w:r>
    </w:p>
    <w:p w:rsidR="0075724C" w:rsidRPr="00134F50" w:rsidRDefault="0075724C" w:rsidP="00134F50">
      <w:pPr>
        <w:pStyle w:val="Prrafodelista"/>
        <w:numPr>
          <w:ilvl w:val="2"/>
          <w:numId w:val="18"/>
        </w:numPr>
        <w:spacing w:before="480" w:after="100" w:afterAutospacing="1" w:line="360" w:lineRule="auto"/>
        <w:ind w:left="1276" w:hanging="567"/>
        <w:outlineLvl w:val="1"/>
        <w:rPr>
          <w:rFonts w:ascii="Arial" w:eastAsia="SimSun" w:hAnsi="Arial" w:cs="Arial"/>
          <w:b/>
          <w:color w:val="2E74B5"/>
          <w:lang w:val="es-ES_tradnl" w:eastAsia="es-ES_tradnl"/>
        </w:rPr>
      </w:pPr>
      <w:bookmarkStart w:id="50" w:name="_Toc64153816"/>
      <w:bookmarkStart w:id="51" w:name="_Toc98333309"/>
      <w:r w:rsidRPr="00134F50">
        <w:rPr>
          <w:rFonts w:ascii="Arial" w:eastAsia="SimSun" w:hAnsi="Arial" w:cs="Arial"/>
          <w:b/>
          <w:color w:val="2E74B5"/>
          <w:lang w:val="es-ES_tradnl" w:eastAsia="es-ES_tradnl"/>
        </w:rPr>
        <w:t>Información en materia de empleo en el sector público.</w:t>
      </w:r>
      <w:bookmarkEnd w:id="50"/>
      <w:bookmarkEnd w:id="51"/>
    </w:p>
    <w:p w:rsidR="0075724C" w:rsidRPr="0075724C" w:rsidRDefault="0075724C" w:rsidP="0075724C">
      <w:pPr>
        <w:widowControl w:val="0"/>
        <w:suppressAutoHyphens/>
        <w:autoSpaceDN w:val="0"/>
        <w:spacing w:before="240" w:after="0" w:line="240" w:lineRule="auto"/>
        <w:jc w:val="both"/>
        <w:rPr>
          <w:rFonts w:ascii="Arial" w:eastAsia="SimSun" w:hAnsi="Arial" w:cs="Arial"/>
          <w:kern w:val="3"/>
          <w:lang w:eastAsia="zh-CN" w:bidi="hi-IN"/>
        </w:rPr>
      </w:pPr>
      <w:r w:rsidRPr="0075724C">
        <w:rPr>
          <w:rFonts w:ascii="Arial" w:eastAsia="SimSun" w:hAnsi="Arial" w:cs="Arial"/>
          <w:kern w:val="3"/>
          <w:lang w:eastAsia="zh-CN" w:bidi="hi-IN"/>
        </w:rPr>
        <w:t>Se exige publicar la información necesaria para mostrar la situación del personal al servicio de las administraciones públicas, así como de los procesos para incorporar nuevos efectivos. Esta información se encuentra publicada en la pestaña “Organización y recursos”, en los apartados “Personal al servicio de la Administración” y “Relaciones sindicales”.</w:t>
      </w:r>
    </w:p>
    <w:p w:rsidR="0075724C" w:rsidRPr="0075724C" w:rsidRDefault="0075724C" w:rsidP="0075724C">
      <w:pPr>
        <w:widowControl w:val="0"/>
        <w:suppressAutoHyphens/>
        <w:autoSpaceDN w:val="0"/>
        <w:spacing w:before="240" w:after="0" w:line="240" w:lineRule="auto"/>
        <w:jc w:val="both"/>
        <w:rPr>
          <w:rFonts w:ascii="Arial" w:eastAsia="SimSun" w:hAnsi="Arial" w:cs="Arial"/>
          <w:kern w:val="3"/>
          <w:lang w:eastAsia="zh-CN" w:bidi="hi-IN"/>
        </w:rPr>
      </w:pPr>
      <w:r w:rsidRPr="0075724C">
        <w:rPr>
          <w:rFonts w:ascii="Arial" w:eastAsia="SimSun" w:hAnsi="Arial" w:cs="Arial"/>
          <w:kern w:val="3"/>
          <w:lang w:eastAsia="zh-CN" w:bidi="hi-IN"/>
        </w:rPr>
        <w:t xml:space="preserve">La LTPCM establece una regulación singular no contemplada en la legislación básica estatal. </w:t>
      </w:r>
      <w:r w:rsidR="007D68DA">
        <w:rPr>
          <w:rFonts w:ascii="Arial" w:eastAsia="SimSun" w:hAnsi="Arial" w:cs="Arial"/>
          <w:kern w:val="3"/>
          <w:lang w:eastAsia="zh-CN" w:bidi="hi-IN"/>
        </w:rPr>
        <w:t>E</w:t>
      </w:r>
      <w:r w:rsidR="007D68DA" w:rsidRPr="0075724C">
        <w:rPr>
          <w:rFonts w:ascii="Arial" w:eastAsia="SimSun" w:hAnsi="Arial" w:cs="Arial"/>
          <w:kern w:val="3"/>
          <w:lang w:eastAsia="zh-CN" w:bidi="hi-IN"/>
        </w:rPr>
        <w:t xml:space="preserve">ntre los diversos contenidos a publicar </w:t>
      </w:r>
      <w:r w:rsidR="007D68DA">
        <w:rPr>
          <w:rFonts w:ascii="Arial" w:eastAsia="SimSun" w:hAnsi="Arial" w:cs="Arial"/>
          <w:kern w:val="3"/>
          <w:lang w:eastAsia="zh-CN" w:bidi="hi-IN"/>
        </w:rPr>
        <w:t>s</w:t>
      </w:r>
      <w:r w:rsidRPr="0075724C">
        <w:rPr>
          <w:rFonts w:ascii="Arial" w:eastAsia="SimSun" w:hAnsi="Arial" w:cs="Arial"/>
          <w:kern w:val="3"/>
          <w:lang w:eastAsia="zh-CN" w:bidi="hi-IN"/>
        </w:rPr>
        <w:t>e puede</w:t>
      </w:r>
      <w:r w:rsidR="007D68DA">
        <w:rPr>
          <w:rFonts w:ascii="Arial" w:eastAsia="SimSun" w:hAnsi="Arial" w:cs="Arial"/>
          <w:kern w:val="3"/>
          <w:lang w:eastAsia="zh-CN" w:bidi="hi-IN"/>
        </w:rPr>
        <w:t>n</w:t>
      </w:r>
      <w:r w:rsidRPr="0075724C">
        <w:rPr>
          <w:rFonts w:ascii="Arial" w:eastAsia="SimSun" w:hAnsi="Arial" w:cs="Arial"/>
          <w:kern w:val="3"/>
          <w:lang w:eastAsia="zh-CN" w:bidi="hi-IN"/>
        </w:rPr>
        <w:t xml:space="preserve"> destacar los instrumentos de gestión</w:t>
      </w:r>
      <w:r w:rsidR="00E26745">
        <w:rPr>
          <w:rFonts w:ascii="Arial" w:eastAsia="SimSun" w:hAnsi="Arial" w:cs="Arial"/>
          <w:kern w:val="3"/>
          <w:lang w:eastAsia="zh-CN" w:bidi="hi-IN"/>
        </w:rPr>
        <w:t xml:space="preserve"> </w:t>
      </w:r>
      <w:r w:rsidRPr="0075724C">
        <w:rPr>
          <w:rFonts w:ascii="Arial" w:eastAsia="SimSun" w:hAnsi="Arial" w:cs="Arial"/>
          <w:kern w:val="3"/>
          <w:lang w:eastAsia="zh-CN" w:bidi="hi-IN"/>
        </w:rPr>
        <w:t>(relaciones de puestos de trabajo, catálogos de pu</w:t>
      </w:r>
      <w:r w:rsidR="007D68DA">
        <w:rPr>
          <w:rFonts w:ascii="Arial" w:eastAsia="SimSun" w:hAnsi="Arial" w:cs="Arial"/>
          <w:kern w:val="3"/>
          <w:lang w:eastAsia="zh-CN" w:bidi="hi-IN"/>
        </w:rPr>
        <w:t xml:space="preserve">estos, plantillas de personal) o el </w:t>
      </w:r>
      <w:r w:rsidRPr="0075724C">
        <w:rPr>
          <w:rFonts w:ascii="Arial" w:eastAsia="SimSun" w:hAnsi="Arial" w:cs="Arial"/>
          <w:kern w:val="3"/>
          <w:lang w:eastAsia="zh-CN" w:bidi="hi-IN"/>
        </w:rPr>
        <w:t xml:space="preserve">número de liberados sindicales, así como la desagregación del personal atendiendo a distintos criterios (género, </w:t>
      </w:r>
      <w:r w:rsidRPr="0075724C">
        <w:rPr>
          <w:rFonts w:ascii="Arial" w:eastAsia="SimSun" w:hAnsi="Arial" w:cs="Arial"/>
          <w:bCs/>
          <w:kern w:val="3"/>
          <w:lang w:eastAsia="zh-CN" w:bidi="hi-IN"/>
        </w:rPr>
        <w:t>grupos de clasificación</w:t>
      </w:r>
      <w:r w:rsidRPr="0075724C">
        <w:rPr>
          <w:rFonts w:ascii="Arial" w:eastAsia="SimSun" w:hAnsi="Arial" w:cs="Arial"/>
          <w:kern w:val="3"/>
          <w:lang w:eastAsia="zh-CN" w:bidi="hi-IN"/>
        </w:rPr>
        <w:t xml:space="preserve">, personal funcionario </w:t>
      </w:r>
      <w:r w:rsidR="00E26745">
        <w:rPr>
          <w:rFonts w:ascii="Arial" w:eastAsia="SimSun" w:hAnsi="Arial" w:cs="Arial"/>
          <w:kern w:val="3"/>
          <w:lang w:eastAsia="zh-CN" w:bidi="hi-IN"/>
        </w:rPr>
        <w:t>-</w:t>
      </w:r>
      <w:r w:rsidRPr="0075724C">
        <w:rPr>
          <w:rFonts w:ascii="Arial" w:eastAsia="SimSun" w:hAnsi="Arial" w:cs="Arial"/>
          <w:kern w:val="3"/>
          <w:lang w:eastAsia="zh-CN" w:bidi="hi-IN"/>
        </w:rPr>
        <w:t>de carrera o interino</w:t>
      </w:r>
      <w:r w:rsidR="00E26745">
        <w:rPr>
          <w:rFonts w:ascii="Arial" w:eastAsia="SimSun" w:hAnsi="Arial" w:cs="Arial"/>
          <w:kern w:val="3"/>
          <w:lang w:eastAsia="zh-CN" w:bidi="hi-IN"/>
        </w:rPr>
        <w:t>-</w:t>
      </w:r>
      <w:r w:rsidRPr="0075724C">
        <w:rPr>
          <w:rFonts w:ascii="Arial" w:eastAsia="SimSun" w:hAnsi="Arial" w:cs="Arial"/>
          <w:kern w:val="3"/>
          <w:lang w:eastAsia="zh-CN" w:bidi="hi-IN"/>
        </w:rPr>
        <w:t>) y personal laboral (fijo, indefinido o temporal).</w:t>
      </w:r>
    </w:p>
    <w:p w:rsidR="0075724C" w:rsidRPr="0075724C" w:rsidRDefault="0075724C" w:rsidP="0075724C">
      <w:pPr>
        <w:widowControl w:val="0"/>
        <w:suppressAutoHyphens/>
        <w:autoSpaceDN w:val="0"/>
        <w:spacing w:before="240" w:after="0" w:line="240" w:lineRule="auto"/>
        <w:jc w:val="both"/>
        <w:rPr>
          <w:rFonts w:ascii="Arial" w:eastAsia="SimSun" w:hAnsi="Arial" w:cs="Arial"/>
          <w:kern w:val="3"/>
          <w:lang w:eastAsia="zh-CN" w:bidi="hi-IN"/>
        </w:rPr>
      </w:pPr>
      <w:r w:rsidRPr="0075724C">
        <w:rPr>
          <w:rFonts w:ascii="Arial" w:eastAsia="SimSun" w:hAnsi="Arial" w:cs="Arial"/>
          <w:kern w:val="3"/>
          <w:lang w:eastAsia="zh-CN" w:bidi="hi-IN"/>
        </w:rPr>
        <w:t>La información publicada se ajusta a las exigencias legales, siendo de especial interés la publicación en datos abiertos de la relación de puestos de trabajo del personal al servicio de la A</w:t>
      </w:r>
      <w:r w:rsidR="008A5059">
        <w:rPr>
          <w:rFonts w:ascii="Arial" w:eastAsia="SimSun" w:hAnsi="Arial" w:cs="Arial"/>
          <w:kern w:val="3"/>
          <w:lang w:eastAsia="zh-CN" w:bidi="hi-IN"/>
        </w:rPr>
        <w:t>dministración General y de J</w:t>
      </w:r>
      <w:r w:rsidRPr="0075724C">
        <w:rPr>
          <w:rFonts w:ascii="Arial" w:eastAsia="SimSun" w:hAnsi="Arial" w:cs="Arial"/>
          <w:kern w:val="3"/>
          <w:lang w:eastAsia="zh-CN" w:bidi="hi-IN"/>
        </w:rPr>
        <w:t>usticia, con una frecuencia de actualización mensual. En el año 2022 se ha mejorado la estructura de esta información y se ha añadido un recurso explicativo de los distintos códigos utilizados para hacer esta materia más comprensible.</w:t>
      </w:r>
    </w:p>
    <w:p w:rsidR="0075724C" w:rsidRPr="0075724C" w:rsidRDefault="00645526" w:rsidP="00134F50">
      <w:pPr>
        <w:numPr>
          <w:ilvl w:val="2"/>
          <w:numId w:val="18"/>
        </w:numPr>
        <w:spacing w:before="480" w:after="100" w:afterAutospacing="1" w:line="360" w:lineRule="auto"/>
        <w:ind w:left="1225" w:hanging="505"/>
        <w:outlineLvl w:val="1"/>
        <w:rPr>
          <w:rFonts w:ascii="Arial" w:eastAsia="SimSun" w:hAnsi="Arial" w:cs="Arial"/>
          <w:b/>
          <w:color w:val="2E74B5"/>
          <w:lang w:val="es-ES_tradnl" w:eastAsia="es-ES_tradnl"/>
        </w:rPr>
      </w:pPr>
      <w:bookmarkStart w:id="52" w:name="_Toc64153817"/>
      <w:bookmarkStart w:id="53" w:name="_Toc98333310"/>
      <w:r>
        <w:rPr>
          <w:rFonts w:ascii="Arial" w:eastAsia="SimSun" w:hAnsi="Arial" w:cs="Arial"/>
          <w:b/>
          <w:color w:val="2E74B5"/>
          <w:lang w:val="es-ES_tradnl" w:eastAsia="es-ES_tradnl"/>
        </w:rPr>
        <w:t xml:space="preserve"> </w:t>
      </w:r>
      <w:r w:rsidR="0075724C" w:rsidRPr="0075724C">
        <w:rPr>
          <w:rFonts w:ascii="Arial" w:eastAsia="SimSun" w:hAnsi="Arial" w:cs="Arial"/>
          <w:b/>
          <w:color w:val="2E74B5"/>
          <w:lang w:val="es-ES_tradnl" w:eastAsia="es-ES_tradnl"/>
        </w:rPr>
        <w:t>Información en materia económica</w:t>
      </w:r>
      <w:bookmarkEnd w:id="52"/>
      <w:bookmarkEnd w:id="53"/>
      <w:r w:rsidR="006362E2">
        <w:rPr>
          <w:rFonts w:ascii="Arial" w:eastAsia="SimSun" w:hAnsi="Arial" w:cs="Arial"/>
          <w:b/>
          <w:color w:val="2E74B5"/>
          <w:lang w:val="es-ES_tradnl" w:eastAsia="es-ES_tradnl"/>
        </w:rPr>
        <w:t>.</w:t>
      </w:r>
    </w:p>
    <w:p w:rsidR="0075724C" w:rsidRPr="0075724C" w:rsidRDefault="0075724C" w:rsidP="0075724C">
      <w:pPr>
        <w:widowControl w:val="0"/>
        <w:suppressAutoHyphens/>
        <w:autoSpaceDN w:val="0"/>
        <w:spacing w:before="240" w:after="0" w:line="240" w:lineRule="auto"/>
        <w:jc w:val="both"/>
        <w:rPr>
          <w:rFonts w:ascii="Arial" w:eastAsia="SimSun" w:hAnsi="Arial" w:cs="Arial"/>
          <w:kern w:val="3"/>
          <w:lang w:eastAsia="zh-CN" w:bidi="hi-IN"/>
        </w:rPr>
      </w:pPr>
      <w:r w:rsidRPr="0075724C">
        <w:rPr>
          <w:rFonts w:ascii="Arial" w:eastAsia="SimSun" w:hAnsi="Arial" w:cs="Arial"/>
          <w:kern w:val="3"/>
          <w:lang w:eastAsia="zh-CN" w:bidi="hi-IN"/>
        </w:rPr>
        <w:t xml:space="preserve">La LTPCM requiere la publicación de información relativa a las remuneraciones percibidas por el personal al servicio de la Administración pública, así como los gastos originados en el desempeño de sus funciones y la situación patrimonial de altos cargos y personal directivo. Esta información se localiza en la pestaña “Organización y recursos”, donde se ofrece un contenido general relativo a las retribuciones de altos cargos. </w:t>
      </w:r>
    </w:p>
    <w:p w:rsidR="0075724C" w:rsidRPr="0075724C" w:rsidRDefault="0075724C" w:rsidP="0075724C">
      <w:pPr>
        <w:widowControl w:val="0"/>
        <w:suppressAutoHyphens/>
        <w:autoSpaceDN w:val="0"/>
        <w:spacing w:before="240" w:after="0" w:line="240" w:lineRule="auto"/>
        <w:jc w:val="both"/>
        <w:rPr>
          <w:rFonts w:ascii="Arial" w:eastAsia="SimSun" w:hAnsi="Arial" w:cs="Arial"/>
          <w:color w:val="FF0000"/>
          <w:kern w:val="3"/>
          <w:lang w:eastAsia="zh-CN" w:bidi="hi-IN"/>
        </w:rPr>
      </w:pPr>
      <w:r w:rsidRPr="0075724C">
        <w:rPr>
          <w:rFonts w:ascii="Arial" w:eastAsia="SimSun" w:hAnsi="Arial" w:cs="Arial"/>
          <w:kern w:val="3"/>
          <w:lang w:eastAsia="zh-CN" w:bidi="hi-IN"/>
        </w:rPr>
        <w:lastRenderedPageBreak/>
        <w:t xml:space="preserve">Junto a este contenido, en la ficha de cada alto cargo se facilita información particular sobre retribuciones, </w:t>
      </w:r>
      <w:r w:rsidRPr="0075724C">
        <w:rPr>
          <w:rFonts w:ascii="Arial" w:eastAsia="SimSun" w:hAnsi="Arial" w:cs="Arial"/>
          <w:kern w:val="3"/>
          <w:lang w:val="es-ES_tradnl" w:eastAsia="zh-CN" w:bidi="hi-IN"/>
        </w:rPr>
        <w:t>declaraciones de bienes, derechos y</w:t>
      </w:r>
      <w:r w:rsidRPr="0075724C">
        <w:rPr>
          <w:rFonts w:ascii="Arial" w:eastAsia="SimSun" w:hAnsi="Arial" w:cs="Arial"/>
          <w:b/>
          <w:kern w:val="3"/>
          <w:lang w:val="es-ES_tradnl" w:eastAsia="zh-CN" w:bidi="hi-IN"/>
        </w:rPr>
        <w:t xml:space="preserve"> </w:t>
      </w:r>
      <w:r w:rsidRPr="0075724C">
        <w:rPr>
          <w:rFonts w:ascii="Arial" w:eastAsia="SimSun" w:hAnsi="Arial" w:cs="Arial"/>
          <w:kern w:val="3"/>
          <w:lang w:val="es-ES_tradnl" w:eastAsia="zh-CN" w:bidi="hi-IN"/>
        </w:rPr>
        <w:t xml:space="preserve">actividades, </w:t>
      </w:r>
      <w:r w:rsidR="008A5059">
        <w:rPr>
          <w:rFonts w:ascii="Arial" w:eastAsia="SimSun" w:hAnsi="Arial" w:cs="Arial"/>
          <w:kern w:val="3"/>
          <w:lang w:eastAsia="zh-CN" w:bidi="hi-IN"/>
        </w:rPr>
        <w:t>gastos protocolarios</w:t>
      </w:r>
      <w:r w:rsidRPr="0075724C">
        <w:rPr>
          <w:rFonts w:ascii="Arial" w:eastAsia="SimSun" w:hAnsi="Arial" w:cs="Arial"/>
          <w:kern w:val="3"/>
          <w:lang w:eastAsia="zh-CN" w:bidi="hi-IN"/>
        </w:rPr>
        <w:t xml:space="preserve"> y dietas y gastos de viaje.</w:t>
      </w:r>
    </w:p>
    <w:p w:rsidR="0075724C" w:rsidRPr="0075724C" w:rsidRDefault="00134F50" w:rsidP="00134F50">
      <w:pPr>
        <w:numPr>
          <w:ilvl w:val="2"/>
          <w:numId w:val="18"/>
        </w:numPr>
        <w:spacing w:before="480" w:after="100" w:afterAutospacing="1" w:line="360" w:lineRule="auto"/>
        <w:ind w:left="1225" w:hanging="505"/>
        <w:outlineLvl w:val="1"/>
        <w:rPr>
          <w:rFonts w:ascii="Arial" w:eastAsia="SimSun" w:hAnsi="Arial" w:cs="Arial"/>
          <w:b/>
          <w:color w:val="2E74B5"/>
          <w:lang w:val="es-ES_tradnl" w:eastAsia="es-ES_tradnl"/>
        </w:rPr>
      </w:pPr>
      <w:bookmarkStart w:id="54" w:name="_Toc64153818"/>
      <w:bookmarkStart w:id="55" w:name="_Toc98333311"/>
      <w:r>
        <w:rPr>
          <w:rFonts w:ascii="Arial" w:eastAsia="SimSun" w:hAnsi="Arial" w:cs="Arial"/>
          <w:b/>
          <w:color w:val="2E74B5"/>
          <w:lang w:val="es-ES_tradnl" w:eastAsia="es-ES_tradnl"/>
        </w:rPr>
        <w:t xml:space="preserve"> </w:t>
      </w:r>
      <w:r w:rsidR="0075724C" w:rsidRPr="0075724C">
        <w:rPr>
          <w:rFonts w:ascii="Arial" w:eastAsia="SimSun" w:hAnsi="Arial" w:cs="Arial"/>
          <w:b/>
          <w:color w:val="2E74B5"/>
          <w:lang w:val="es-ES_tradnl" w:eastAsia="es-ES_tradnl"/>
        </w:rPr>
        <w:t>Información en materia normativa.</w:t>
      </w:r>
      <w:bookmarkEnd w:id="54"/>
      <w:bookmarkEnd w:id="55"/>
    </w:p>
    <w:p w:rsidR="0075724C" w:rsidRPr="0075724C" w:rsidRDefault="0075724C" w:rsidP="0075724C">
      <w:pPr>
        <w:widowControl w:val="0"/>
        <w:suppressAutoHyphens/>
        <w:autoSpaceDN w:val="0"/>
        <w:spacing w:before="240" w:after="0" w:line="240" w:lineRule="auto"/>
        <w:jc w:val="both"/>
        <w:rPr>
          <w:rFonts w:ascii="Arial" w:eastAsia="SimSun" w:hAnsi="Arial" w:cs="Arial"/>
          <w:kern w:val="3"/>
          <w:lang w:eastAsia="zh-CN" w:bidi="hi-IN"/>
        </w:rPr>
      </w:pPr>
      <w:r w:rsidRPr="0075724C">
        <w:rPr>
          <w:rFonts w:ascii="Arial" w:eastAsia="SimSun" w:hAnsi="Arial" w:cs="Arial"/>
          <w:kern w:val="3"/>
          <w:lang w:eastAsia="zh-CN" w:bidi="hi-IN"/>
        </w:rPr>
        <w:t xml:space="preserve">Bajo la pestaña “Normativa y planificación” se ofrece una visión de conjunto, y con un alto grado de detalle, del proceso de elaboración de normas y del repertorio legislativo. </w:t>
      </w:r>
    </w:p>
    <w:p w:rsidR="0075724C" w:rsidRPr="0075724C" w:rsidRDefault="00F3541D" w:rsidP="0075724C">
      <w:pPr>
        <w:widowControl w:val="0"/>
        <w:suppressAutoHyphens/>
        <w:autoSpaceDN w:val="0"/>
        <w:spacing w:before="240" w:after="0" w:line="240" w:lineRule="auto"/>
        <w:jc w:val="both"/>
        <w:rPr>
          <w:rFonts w:ascii="Arial" w:eastAsia="SimSun" w:hAnsi="Arial" w:cs="Arial"/>
          <w:kern w:val="3"/>
          <w:lang w:eastAsia="zh-CN" w:bidi="hi-IN"/>
        </w:rPr>
      </w:pPr>
      <w:r>
        <w:rPr>
          <w:rFonts w:ascii="Arial" w:eastAsia="SimSun" w:hAnsi="Arial" w:cs="Arial"/>
          <w:kern w:val="3"/>
          <w:lang w:eastAsia="zh-CN" w:bidi="hi-IN"/>
        </w:rPr>
        <w:t>C</w:t>
      </w:r>
      <w:r w:rsidRPr="0075724C">
        <w:rPr>
          <w:rFonts w:ascii="Arial" w:eastAsia="SimSun" w:hAnsi="Arial" w:cs="Arial"/>
          <w:kern w:val="3"/>
          <w:lang w:eastAsia="zh-CN" w:bidi="hi-IN"/>
        </w:rPr>
        <w:t xml:space="preserve">omo novedad respecto a la normativa estatal, </w:t>
      </w:r>
      <w:r>
        <w:rPr>
          <w:rFonts w:ascii="Arial" w:eastAsia="SimSun" w:hAnsi="Arial" w:cs="Arial"/>
          <w:kern w:val="3"/>
          <w:lang w:eastAsia="zh-CN" w:bidi="hi-IN"/>
        </w:rPr>
        <w:t>l</w:t>
      </w:r>
      <w:r w:rsidR="0075724C" w:rsidRPr="0075724C">
        <w:rPr>
          <w:rFonts w:ascii="Arial" w:eastAsia="SimSun" w:hAnsi="Arial" w:cs="Arial"/>
          <w:kern w:val="3"/>
          <w:lang w:eastAsia="zh-CN" w:bidi="hi-IN"/>
        </w:rPr>
        <w:t>a LTPCM incorpora la monitorización del proceso de creación de distintos tip</w:t>
      </w:r>
      <w:r w:rsidR="000A3407">
        <w:rPr>
          <w:rFonts w:ascii="Arial" w:eastAsia="SimSun" w:hAnsi="Arial" w:cs="Arial"/>
          <w:kern w:val="3"/>
          <w:lang w:eastAsia="zh-CN" w:bidi="hi-IN"/>
        </w:rPr>
        <w:t>os de normas</w:t>
      </w:r>
      <w:r w:rsidR="0075724C" w:rsidRPr="0075724C">
        <w:rPr>
          <w:rFonts w:ascii="Arial" w:eastAsia="SimSun" w:hAnsi="Arial" w:cs="Arial"/>
          <w:kern w:val="3"/>
          <w:lang w:eastAsia="zh-CN" w:bidi="hi-IN"/>
        </w:rPr>
        <w:t xml:space="preserve"> mediante la posibilidad de con</w:t>
      </w:r>
      <w:r w:rsidR="000A3407">
        <w:rPr>
          <w:rFonts w:ascii="Arial" w:eastAsia="SimSun" w:hAnsi="Arial" w:cs="Arial"/>
          <w:kern w:val="3"/>
          <w:lang w:eastAsia="zh-CN" w:bidi="hi-IN"/>
        </w:rPr>
        <w:t>sultar su estado de tramitación</w:t>
      </w:r>
      <w:r w:rsidR="0075724C" w:rsidRPr="0075724C">
        <w:rPr>
          <w:rFonts w:ascii="Arial" w:eastAsia="SimSun" w:hAnsi="Arial" w:cs="Arial"/>
          <w:kern w:val="3"/>
          <w:lang w:eastAsia="zh-CN" w:bidi="hi-IN"/>
        </w:rPr>
        <w:t xml:space="preserve"> y la documentación que lo acompaña.</w:t>
      </w:r>
    </w:p>
    <w:p w:rsidR="0075724C" w:rsidRPr="0075724C" w:rsidRDefault="0075724C" w:rsidP="0075724C">
      <w:pPr>
        <w:widowControl w:val="0"/>
        <w:suppressAutoHyphens/>
        <w:autoSpaceDN w:val="0"/>
        <w:spacing w:before="240" w:after="0" w:line="240" w:lineRule="auto"/>
        <w:jc w:val="both"/>
        <w:rPr>
          <w:rFonts w:ascii="Arial" w:eastAsia="SimSun" w:hAnsi="Arial" w:cs="Arial"/>
          <w:kern w:val="3"/>
          <w:lang w:eastAsia="zh-CN" w:bidi="hi-IN"/>
        </w:rPr>
      </w:pPr>
      <w:r w:rsidRPr="0075724C">
        <w:rPr>
          <w:rFonts w:ascii="Arial" w:eastAsia="SimSun" w:hAnsi="Arial" w:cs="Arial"/>
          <w:kern w:val="3"/>
          <w:lang w:eastAsia="zh-CN" w:bidi="hi-IN"/>
        </w:rPr>
        <w:t>Los trámites de consulta pública, de audiencia e información pública, así como los expedientes en exposición pública, se presentan de forma individualizada a fin de facilitar su acceso.</w:t>
      </w:r>
    </w:p>
    <w:p w:rsidR="0075724C" w:rsidRPr="0075724C" w:rsidRDefault="000A3407" w:rsidP="0075724C">
      <w:pPr>
        <w:widowControl w:val="0"/>
        <w:suppressAutoHyphens/>
        <w:autoSpaceDN w:val="0"/>
        <w:spacing w:before="240" w:after="0" w:line="240" w:lineRule="auto"/>
        <w:jc w:val="both"/>
        <w:rPr>
          <w:rFonts w:ascii="Arial" w:eastAsia="SimSun" w:hAnsi="Arial" w:cs="Arial"/>
          <w:kern w:val="3"/>
          <w:lang w:eastAsia="zh-CN" w:bidi="hi-IN"/>
        </w:rPr>
      </w:pPr>
      <w:r>
        <w:rPr>
          <w:rFonts w:ascii="Arial" w:eastAsia="SimSun" w:hAnsi="Arial" w:cs="Arial"/>
          <w:kern w:val="3"/>
          <w:lang w:eastAsia="zh-CN" w:bidi="hi-IN"/>
        </w:rPr>
        <w:t>Las exigencias de la l</w:t>
      </w:r>
      <w:r w:rsidR="0075724C" w:rsidRPr="0075724C">
        <w:rPr>
          <w:rFonts w:ascii="Arial" w:eastAsia="SimSun" w:hAnsi="Arial" w:cs="Arial"/>
          <w:kern w:val="3"/>
          <w:lang w:eastAsia="zh-CN" w:bidi="hi-IN"/>
        </w:rPr>
        <w:t xml:space="preserve">ey en este ámbito se ven ampliamente cumplidas. </w:t>
      </w:r>
    </w:p>
    <w:p w:rsidR="0075724C" w:rsidRPr="0075724C" w:rsidRDefault="0075724C" w:rsidP="00134F50">
      <w:pPr>
        <w:numPr>
          <w:ilvl w:val="2"/>
          <w:numId w:val="18"/>
        </w:numPr>
        <w:spacing w:before="480" w:after="100" w:afterAutospacing="1" w:line="360" w:lineRule="auto"/>
        <w:ind w:left="1225" w:hanging="505"/>
        <w:outlineLvl w:val="1"/>
        <w:rPr>
          <w:rFonts w:ascii="Arial" w:eastAsia="SimSun" w:hAnsi="Arial" w:cs="Arial"/>
          <w:b/>
          <w:color w:val="2E74B5"/>
          <w:lang w:val="es-ES_tradnl" w:eastAsia="es-ES_tradnl"/>
        </w:rPr>
      </w:pPr>
      <w:bookmarkStart w:id="56" w:name="_Toc64153819"/>
      <w:r w:rsidRPr="0075724C">
        <w:rPr>
          <w:rFonts w:ascii="Arial" w:eastAsia="SimSun" w:hAnsi="Arial" w:cs="Arial"/>
          <w:b/>
          <w:color w:val="2E74B5"/>
          <w:lang w:val="es-ES_tradnl" w:eastAsia="es-ES_tradnl"/>
        </w:rPr>
        <w:t xml:space="preserve"> </w:t>
      </w:r>
      <w:bookmarkStart w:id="57" w:name="_Toc98333312"/>
      <w:r w:rsidRPr="0075724C">
        <w:rPr>
          <w:rFonts w:ascii="Arial" w:eastAsia="SimSun" w:hAnsi="Arial" w:cs="Arial"/>
          <w:b/>
          <w:color w:val="2E74B5"/>
          <w:lang w:val="es-ES_tradnl" w:eastAsia="es-ES_tradnl"/>
        </w:rPr>
        <w:t>Información sobre los servicios y procedimientos.</w:t>
      </w:r>
      <w:bookmarkEnd w:id="56"/>
      <w:bookmarkEnd w:id="57"/>
    </w:p>
    <w:p w:rsidR="0075724C" w:rsidRPr="0075724C" w:rsidRDefault="0075724C" w:rsidP="0075724C">
      <w:pPr>
        <w:widowControl w:val="0"/>
        <w:suppressAutoHyphens/>
        <w:autoSpaceDN w:val="0"/>
        <w:spacing w:before="240" w:after="0" w:line="240" w:lineRule="auto"/>
        <w:jc w:val="both"/>
        <w:rPr>
          <w:rFonts w:ascii="Arial" w:eastAsia="SimSun" w:hAnsi="Arial" w:cs="Arial"/>
          <w:kern w:val="3"/>
          <w:lang w:eastAsia="zh-CN" w:bidi="hi-IN"/>
        </w:rPr>
      </w:pPr>
      <w:r w:rsidRPr="0075724C">
        <w:rPr>
          <w:rFonts w:ascii="Arial" w:eastAsia="SimSun" w:hAnsi="Arial" w:cs="Arial"/>
          <w:kern w:val="3"/>
          <w:lang w:eastAsia="zh-CN" w:bidi="hi-IN"/>
        </w:rPr>
        <w:t>Se exige en este apartado la publicación de información sobre aspectos del funcionamiento de las administraciones públicas en su trato directo con la ciudadanía. Esta información se encuentra publicada en la pestaña “Servicios y procedimientos”, facilitándose un inventario de procedimientos administrativos y un inventario de centros y servicios. Respecto a los centros, se ha añadido un enlace desde el que se puede acceder a toda la información de los centros de la Comunidad de Madrid, mejorando así la accesibilidad y el cumplimiento de la obligación legal.</w:t>
      </w:r>
    </w:p>
    <w:p w:rsidR="0075724C" w:rsidRPr="0075724C" w:rsidRDefault="00645526" w:rsidP="00134F50">
      <w:pPr>
        <w:numPr>
          <w:ilvl w:val="2"/>
          <w:numId w:val="18"/>
        </w:numPr>
        <w:spacing w:before="480" w:after="100" w:afterAutospacing="1" w:line="360" w:lineRule="auto"/>
        <w:ind w:left="1225" w:hanging="505"/>
        <w:outlineLvl w:val="1"/>
        <w:rPr>
          <w:rFonts w:ascii="Arial" w:eastAsia="SimSun" w:hAnsi="Arial" w:cs="Arial"/>
          <w:b/>
          <w:color w:val="2E74B5"/>
          <w:lang w:val="es-ES_tradnl" w:eastAsia="es-ES_tradnl"/>
        </w:rPr>
      </w:pPr>
      <w:bookmarkStart w:id="58" w:name="_Toc64153820"/>
      <w:bookmarkStart w:id="59" w:name="_Toc98333313"/>
      <w:r>
        <w:rPr>
          <w:rFonts w:ascii="Arial" w:eastAsia="SimSun" w:hAnsi="Arial" w:cs="Arial"/>
          <w:b/>
          <w:color w:val="2E74B5"/>
          <w:lang w:val="es-ES_tradnl" w:eastAsia="es-ES_tradnl"/>
        </w:rPr>
        <w:t xml:space="preserve"> </w:t>
      </w:r>
      <w:r w:rsidR="0075724C" w:rsidRPr="0075724C">
        <w:rPr>
          <w:rFonts w:ascii="Arial" w:eastAsia="SimSun" w:hAnsi="Arial" w:cs="Arial"/>
          <w:b/>
          <w:color w:val="2E74B5"/>
          <w:lang w:val="es-ES_tradnl" w:eastAsia="es-ES_tradnl"/>
        </w:rPr>
        <w:t>Información económico-financiera.</w:t>
      </w:r>
      <w:bookmarkEnd w:id="58"/>
      <w:bookmarkEnd w:id="59"/>
    </w:p>
    <w:p w:rsidR="0075724C" w:rsidRPr="0075724C" w:rsidRDefault="0075724C" w:rsidP="0075724C">
      <w:pPr>
        <w:widowControl w:val="0"/>
        <w:suppressAutoHyphens/>
        <w:autoSpaceDN w:val="0"/>
        <w:spacing w:before="240" w:after="0" w:line="240" w:lineRule="auto"/>
        <w:jc w:val="both"/>
        <w:rPr>
          <w:rFonts w:ascii="Arial" w:eastAsia="SimSun" w:hAnsi="Arial" w:cs="Arial"/>
          <w:kern w:val="3"/>
          <w:lang w:eastAsia="zh-CN" w:bidi="hi-IN"/>
        </w:rPr>
      </w:pPr>
      <w:r w:rsidRPr="0075724C">
        <w:rPr>
          <w:rFonts w:ascii="Arial" w:eastAsia="SimSun" w:hAnsi="Arial" w:cs="Arial"/>
          <w:kern w:val="3"/>
          <w:lang w:eastAsia="zh-CN" w:bidi="hi-IN"/>
        </w:rPr>
        <w:t>La información relativa a ingresos, gastos, información contable y de endeudamiento que exige la LTPCM se encuentra publicada en la pestaña “Presupuestos, contratos y subvenciones”.</w:t>
      </w:r>
    </w:p>
    <w:p w:rsidR="0075724C" w:rsidRPr="0075724C" w:rsidRDefault="0014226A" w:rsidP="0075724C">
      <w:pPr>
        <w:widowControl w:val="0"/>
        <w:suppressAutoHyphens/>
        <w:autoSpaceDN w:val="0"/>
        <w:spacing w:before="240" w:after="0" w:line="240" w:lineRule="auto"/>
        <w:jc w:val="both"/>
        <w:rPr>
          <w:rFonts w:ascii="Arial" w:eastAsia="SimSun" w:hAnsi="Arial" w:cs="Arial"/>
          <w:kern w:val="3"/>
          <w:lang w:eastAsia="zh-CN" w:bidi="hi-IN"/>
        </w:rPr>
      </w:pPr>
      <w:r>
        <w:rPr>
          <w:rFonts w:ascii="Arial" w:eastAsia="SimSun" w:hAnsi="Arial" w:cs="Arial"/>
          <w:kern w:val="3"/>
          <w:lang w:eastAsia="zh-CN" w:bidi="hi-IN"/>
        </w:rPr>
        <w:t>La l</w:t>
      </w:r>
      <w:r w:rsidR="0075724C" w:rsidRPr="0075724C">
        <w:rPr>
          <w:rFonts w:ascii="Arial" w:eastAsia="SimSun" w:hAnsi="Arial" w:cs="Arial"/>
          <w:kern w:val="3"/>
          <w:lang w:eastAsia="zh-CN" w:bidi="hi-IN"/>
        </w:rPr>
        <w:t>ey establece un régimen de publicidad activa en esta materia amplio y exhaustivo. La parte referida a la información presupuestaria y contable recoge tanto los presupuestos como su ejecución, los informes y cuentas que deban rendirse, así como los planes de reequilibrio y ajuste, entre otras</w:t>
      </w:r>
      <w:r w:rsidR="00F3541D">
        <w:rPr>
          <w:rFonts w:ascii="Arial" w:eastAsia="SimSun" w:hAnsi="Arial" w:cs="Arial"/>
          <w:kern w:val="3"/>
          <w:lang w:eastAsia="zh-CN" w:bidi="hi-IN"/>
        </w:rPr>
        <w:t xml:space="preserve"> </w:t>
      </w:r>
      <w:r w:rsidR="0075724C" w:rsidRPr="0075724C">
        <w:rPr>
          <w:rFonts w:ascii="Arial" w:eastAsia="SimSun" w:hAnsi="Arial" w:cs="Arial"/>
          <w:kern w:val="3"/>
          <w:lang w:eastAsia="zh-CN" w:bidi="hi-IN"/>
        </w:rPr>
        <w:t>cuestiones.</w:t>
      </w:r>
    </w:p>
    <w:p w:rsidR="0075724C" w:rsidRPr="0075724C" w:rsidRDefault="0075724C" w:rsidP="0075724C">
      <w:pPr>
        <w:widowControl w:val="0"/>
        <w:suppressAutoHyphens/>
        <w:autoSpaceDN w:val="0"/>
        <w:spacing w:before="240" w:after="0" w:line="240" w:lineRule="auto"/>
        <w:jc w:val="both"/>
        <w:rPr>
          <w:rFonts w:ascii="Arial" w:eastAsia="SimSun" w:hAnsi="Arial" w:cs="Arial"/>
          <w:kern w:val="3"/>
          <w:lang w:eastAsia="zh-CN" w:bidi="hi-IN"/>
        </w:rPr>
      </w:pPr>
      <w:r w:rsidRPr="0075724C">
        <w:rPr>
          <w:rFonts w:ascii="Arial" w:eastAsia="SimSun" w:hAnsi="Arial" w:cs="Arial"/>
          <w:kern w:val="3"/>
          <w:lang w:eastAsia="zh-CN" w:bidi="hi-IN"/>
        </w:rPr>
        <w:t xml:space="preserve">La información publicada se encuentra en el espacio de transparencia del Portal de Presupuestos. La mayoría de la información se aloja directamente en este espacio, aunque determinadas cuestiones están enlazadas a la página web del Ministerio de Hacienda, </w:t>
      </w:r>
      <w:r w:rsidR="007D68DA">
        <w:rPr>
          <w:rFonts w:ascii="Arial" w:eastAsia="SimSun" w:hAnsi="Arial" w:cs="Arial"/>
          <w:kern w:val="3"/>
          <w:lang w:eastAsia="zh-CN" w:bidi="hi-IN"/>
        </w:rPr>
        <w:t>en</w:t>
      </w:r>
      <w:r w:rsidRPr="0075724C">
        <w:rPr>
          <w:rFonts w:ascii="Arial" w:eastAsia="SimSun" w:hAnsi="Arial" w:cs="Arial"/>
          <w:kern w:val="3"/>
          <w:lang w:eastAsia="zh-CN" w:bidi="hi-IN"/>
        </w:rPr>
        <w:t xml:space="preserve"> </w:t>
      </w:r>
      <w:r w:rsidR="007D68DA">
        <w:rPr>
          <w:rFonts w:ascii="Arial" w:eastAsia="SimSun" w:hAnsi="Arial" w:cs="Arial"/>
          <w:kern w:val="3"/>
          <w:lang w:eastAsia="zh-CN" w:bidi="hi-IN"/>
        </w:rPr>
        <w:t>la que</w:t>
      </w:r>
      <w:r w:rsidRPr="0075724C">
        <w:rPr>
          <w:rFonts w:ascii="Arial" w:eastAsia="SimSun" w:hAnsi="Arial" w:cs="Arial"/>
          <w:kern w:val="3"/>
          <w:lang w:eastAsia="zh-CN" w:bidi="hi-IN"/>
        </w:rPr>
        <w:t xml:space="preserve"> </w:t>
      </w:r>
      <w:r w:rsidR="007D68DA">
        <w:rPr>
          <w:rFonts w:ascii="Arial" w:eastAsia="SimSun" w:hAnsi="Arial" w:cs="Arial"/>
          <w:kern w:val="3"/>
          <w:lang w:eastAsia="zh-CN" w:bidi="hi-IN"/>
        </w:rPr>
        <w:t>se publican datos de todas las comunidades a</w:t>
      </w:r>
      <w:r w:rsidRPr="0075724C">
        <w:rPr>
          <w:rFonts w:ascii="Arial" w:eastAsia="SimSun" w:hAnsi="Arial" w:cs="Arial"/>
          <w:kern w:val="3"/>
          <w:lang w:eastAsia="zh-CN" w:bidi="hi-IN"/>
        </w:rPr>
        <w:t>utónomas.</w:t>
      </w:r>
    </w:p>
    <w:p w:rsidR="009A5956" w:rsidRDefault="009A5956">
      <w:pPr>
        <w:rPr>
          <w:rFonts w:ascii="Arial" w:eastAsia="SimSun" w:hAnsi="Arial" w:cs="Arial"/>
          <w:kern w:val="3"/>
          <w:lang w:eastAsia="zh-CN" w:bidi="hi-IN"/>
        </w:rPr>
      </w:pPr>
      <w:r>
        <w:rPr>
          <w:rFonts w:ascii="Arial" w:eastAsia="SimSun" w:hAnsi="Arial" w:cs="Arial"/>
          <w:kern w:val="3"/>
          <w:lang w:eastAsia="zh-CN" w:bidi="hi-IN"/>
        </w:rPr>
        <w:br w:type="page"/>
      </w:r>
    </w:p>
    <w:p w:rsidR="0075724C" w:rsidRPr="0075724C" w:rsidRDefault="0075724C" w:rsidP="0075724C">
      <w:pPr>
        <w:widowControl w:val="0"/>
        <w:suppressAutoHyphens/>
        <w:autoSpaceDN w:val="0"/>
        <w:spacing w:before="240" w:after="0" w:line="240" w:lineRule="auto"/>
        <w:jc w:val="both"/>
        <w:rPr>
          <w:rFonts w:ascii="Arial" w:eastAsia="SimSun" w:hAnsi="Arial" w:cs="Arial"/>
          <w:kern w:val="3"/>
          <w:lang w:eastAsia="zh-CN" w:bidi="hi-IN"/>
        </w:rPr>
      </w:pPr>
      <w:r w:rsidRPr="0075724C">
        <w:rPr>
          <w:rFonts w:ascii="Arial" w:eastAsia="SimSun" w:hAnsi="Arial" w:cs="Arial"/>
          <w:kern w:val="3"/>
          <w:lang w:eastAsia="zh-CN" w:bidi="hi-IN"/>
        </w:rPr>
        <w:lastRenderedPageBreak/>
        <w:t xml:space="preserve">En relación con la información presupuestaria y contable, hay que tener en cuenta que parte de esta información </w:t>
      </w:r>
      <w:r w:rsidRPr="0075724C">
        <w:rPr>
          <w:rFonts w:ascii="Arial" w:eastAsia="SimSun" w:hAnsi="Arial" w:cs="Arial"/>
          <w:kern w:val="3"/>
          <w:lang w:val="es-ES_tradnl" w:eastAsia="zh-CN" w:bidi="hi-IN"/>
        </w:rPr>
        <w:t>se obtiene a ejercicio cerrado, por lo que las actualizaciones de datos referidas a 2022 se incorporan en el primer trimestre de 2023.</w:t>
      </w:r>
      <w:r w:rsidRPr="0075724C">
        <w:rPr>
          <w:rFonts w:ascii="Arial" w:eastAsia="SimSun" w:hAnsi="Arial" w:cs="Arial"/>
          <w:b/>
          <w:kern w:val="3"/>
          <w:lang w:val="es-ES_tradnl" w:eastAsia="zh-CN" w:bidi="hi-IN"/>
        </w:rPr>
        <w:t xml:space="preserve"> </w:t>
      </w:r>
    </w:p>
    <w:p w:rsidR="0075724C" w:rsidRPr="0075724C" w:rsidRDefault="0075724C" w:rsidP="0075724C">
      <w:pPr>
        <w:widowControl w:val="0"/>
        <w:suppressAutoHyphens/>
        <w:autoSpaceDN w:val="0"/>
        <w:spacing w:before="240" w:after="0" w:line="240" w:lineRule="auto"/>
        <w:jc w:val="both"/>
        <w:rPr>
          <w:rFonts w:ascii="Arial" w:eastAsia="SimSun" w:hAnsi="Arial" w:cs="Arial"/>
          <w:kern w:val="3"/>
          <w:lang w:eastAsia="zh-CN" w:bidi="hi-IN"/>
        </w:rPr>
      </w:pPr>
      <w:r w:rsidRPr="0075724C">
        <w:rPr>
          <w:rFonts w:ascii="Arial" w:eastAsia="SimSun" w:hAnsi="Arial" w:cs="Arial"/>
          <w:kern w:val="3"/>
          <w:lang w:eastAsia="zh-CN" w:bidi="hi-IN"/>
        </w:rPr>
        <w:t xml:space="preserve">La parte dedicada a los ingresos y gastos recoge información sobre financiación </w:t>
      </w:r>
      <w:r w:rsidR="00F3541D">
        <w:rPr>
          <w:rFonts w:ascii="Arial" w:eastAsia="SimSun" w:hAnsi="Arial" w:cs="Arial"/>
          <w:kern w:val="3"/>
          <w:lang w:eastAsia="zh-CN" w:bidi="hi-IN"/>
        </w:rPr>
        <w:t>-</w:t>
      </w:r>
      <w:r w:rsidRPr="0075724C">
        <w:rPr>
          <w:rFonts w:ascii="Arial" w:eastAsia="SimSun" w:hAnsi="Arial" w:cs="Arial"/>
          <w:kern w:val="3"/>
          <w:lang w:eastAsia="zh-CN" w:bidi="hi-IN"/>
        </w:rPr>
        <w:t>tributos y otros recursos</w:t>
      </w:r>
      <w:r w:rsidR="00F3541D">
        <w:rPr>
          <w:rFonts w:ascii="Arial" w:eastAsia="SimSun" w:hAnsi="Arial" w:cs="Arial"/>
          <w:kern w:val="3"/>
          <w:lang w:eastAsia="zh-CN" w:bidi="hi-IN"/>
        </w:rPr>
        <w:t>-</w:t>
      </w:r>
      <w:r w:rsidRPr="0075724C">
        <w:rPr>
          <w:rFonts w:ascii="Arial" w:eastAsia="SimSun" w:hAnsi="Arial" w:cs="Arial"/>
          <w:kern w:val="3"/>
          <w:lang w:eastAsia="zh-CN" w:bidi="hi-IN"/>
        </w:rPr>
        <w:t xml:space="preserve">, su relación con los gastos </w:t>
      </w:r>
      <w:r w:rsidR="00F3541D">
        <w:rPr>
          <w:rFonts w:ascii="Arial" w:eastAsia="SimSun" w:hAnsi="Arial" w:cs="Arial"/>
          <w:kern w:val="3"/>
          <w:lang w:eastAsia="zh-CN" w:bidi="hi-IN"/>
        </w:rPr>
        <w:t>-</w:t>
      </w:r>
      <w:r w:rsidRPr="0075724C">
        <w:rPr>
          <w:rFonts w:ascii="Arial" w:eastAsia="SimSun" w:hAnsi="Arial" w:cs="Arial"/>
          <w:kern w:val="3"/>
          <w:lang w:eastAsia="zh-CN" w:bidi="hi-IN"/>
        </w:rPr>
        <w:t>déficit/superávit, entre otras variables</w:t>
      </w:r>
      <w:r w:rsidR="00F3541D">
        <w:rPr>
          <w:rFonts w:ascii="Arial" w:eastAsia="SimSun" w:hAnsi="Arial" w:cs="Arial"/>
          <w:kern w:val="3"/>
          <w:lang w:eastAsia="zh-CN" w:bidi="hi-IN"/>
        </w:rPr>
        <w:t>-</w:t>
      </w:r>
      <w:r w:rsidRPr="0075724C">
        <w:rPr>
          <w:rFonts w:ascii="Arial" w:eastAsia="SimSun" w:hAnsi="Arial" w:cs="Arial"/>
          <w:kern w:val="3"/>
          <w:lang w:eastAsia="zh-CN" w:bidi="hi-IN"/>
        </w:rPr>
        <w:t xml:space="preserve"> y especialmente con gastos concretos</w:t>
      </w:r>
      <w:r w:rsidR="00F3541D">
        <w:rPr>
          <w:rFonts w:ascii="Arial" w:eastAsia="SimSun" w:hAnsi="Arial" w:cs="Arial"/>
          <w:kern w:val="3"/>
          <w:lang w:eastAsia="zh-CN" w:bidi="hi-IN"/>
        </w:rPr>
        <w:t xml:space="preserve"> como</w:t>
      </w:r>
      <w:r w:rsidRPr="0075724C">
        <w:rPr>
          <w:rFonts w:ascii="Arial" w:eastAsia="SimSun" w:hAnsi="Arial" w:cs="Arial"/>
          <w:kern w:val="3"/>
          <w:lang w:eastAsia="zh-CN" w:bidi="hi-IN"/>
        </w:rPr>
        <w:t xml:space="preserve"> gastos de personal, en arrendamientos, en publicidad y patrocinio, en las distintas políticas, etc.</w:t>
      </w:r>
    </w:p>
    <w:p w:rsidR="0075724C" w:rsidRPr="0075724C" w:rsidRDefault="0075724C" w:rsidP="0075724C">
      <w:pPr>
        <w:widowControl w:val="0"/>
        <w:suppressAutoHyphens/>
        <w:autoSpaceDN w:val="0"/>
        <w:spacing w:before="240" w:after="0" w:line="240" w:lineRule="auto"/>
        <w:jc w:val="both"/>
        <w:rPr>
          <w:rFonts w:ascii="Arial" w:eastAsia="SimSun" w:hAnsi="Arial" w:cs="Arial"/>
          <w:kern w:val="3"/>
          <w:lang w:eastAsia="zh-CN" w:bidi="hi-IN"/>
        </w:rPr>
      </w:pPr>
      <w:r w:rsidRPr="0075724C">
        <w:rPr>
          <w:rFonts w:ascii="Arial" w:eastAsia="SimSun" w:hAnsi="Arial" w:cs="Arial"/>
          <w:kern w:val="3"/>
          <w:lang w:eastAsia="zh-CN" w:bidi="hi-IN"/>
        </w:rPr>
        <w:t xml:space="preserve">A la fecha de elaboración del informe están disponibles los datos que muestran la relación entre el déficit/superávit en comparación con otras variables (artículo 18.b) 2º). </w:t>
      </w:r>
    </w:p>
    <w:p w:rsidR="0075724C" w:rsidRPr="0075724C" w:rsidRDefault="0075724C" w:rsidP="0075724C">
      <w:pPr>
        <w:widowControl w:val="0"/>
        <w:suppressAutoHyphens/>
        <w:autoSpaceDN w:val="0"/>
        <w:spacing w:before="240" w:after="0" w:line="240" w:lineRule="auto"/>
        <w:jc w:val="both"/>
        <w:rPr>
          <w:rFonts w:ascii="Arial" w:eastAsia="SimSun" w:hAnsi="Arial" w:cs="Arial"/>
          <w:kern w:val="3"/>
          <w:lang w:eastAsia="zh-CN" w:bidi="hi-IN"/>
        </w:rPr>
      </w:pPr>
      <w:r w:rsidRPr="0075724C">
        <w:rPr>
          <w:rFonts w:ascii="Arial" w:eastAsia="SimSun" w:hAnsi="Arial" w:cs="Arial"/>
          <w:kern w:val="3"/>
          <w:lang w:eastAsia="zh-CN" w:bidi="hi-IN"/>
        </w:rPr>
        <w:t>En relación a los gastos realizados en campañas de publicidad institucional y en conc</w:t>
      </w:r>
      <w:r w:rsidR="00CB624E">
        <w:rPr>
          <w:rFonts w:ascii="Arial" w:eastAsia="SimSun" w:hAnsi="Arial" w:cs="Arial"/>
          <w:kern w:val="3"/>
          <w:lang w:eastAsia="zh-CN" w:bidi="hi-IN"/>
        </w:rPr>
        <w:t xml:space="preserve">epto de patrocinio, cada año se actualiza la información de </w:t>
      </w:r>
      <w:r w:rsidRPr="0075724C">
        <w:rPr>
          <w:rFonts w:ascii="Arial" w:eastAsia="SimSun" w:hAnsi="Arial" w:cs="Arial"/>
          <w:kern w:val="3"/>
          <w:lang w:eastAsia="zh-CN" w:bidi="hi-IN"/>
        </w:rPr>
        <w:t>los planes de medios</w:t>
      </w:r>
      <w:r w:rsidR="00CB624E">
        <w:rPr>
          <w:rFonts w:ascii="Arial" w:eastAsia="SimSun" w:hAnsi="Arial" w:cs="Arial"/>
          <w:kern w:val="3"/>
          <w:lang w:eastAsia="zh-CN" w:bidi="hi-IN"/>
        </w:rPr>
        <w:t xml:space="preserve"> y </w:t>
      </w:r>
      <w:r w:rsidRPr="0075724C">
        <w:rPr>
          <w:rFonts w:ascii="Arial" w:eastAsia="SimSun" w:hAnsi="Arial" w:cs="Arial"/>
          <w:kern w:val="3"/>
          <w:lang w:eastAsia="zh-CN" w:bidi="hi-IN"/>
        </w:rPr>
        <w:t>los criterios.</w:t>
      </w:r>
    </w:p>
    <w:p w:rsidR="0075724C" w:rsidRPr="0075724C" w:rsidRDefault="0075724C" w:rsidP="0075724C">
      <w:pPr>
        <w:widowControl w:val="0"/>
        <w:suppressAutoHyphens/>
        <w:autoSpaceDN w:val="0"/>
        <w:spacing w:before="240" w:after="0" w:line="240" w:lineRule="auto"/>
        <w:jc w:val="both"/>
        <w:rPr>
          <w:rFonts w:ascii="Arial" w:eastAsia="SimSun" w:hAnsi="Arial" w:cs="Arial"/>
          <w:kern w:val="3"/>
          <w:lang w:eastAsia="zh-CN" w:bidi="hi-IN"/>
        </w:rPr>
      </w:pPr>
      <w:r w:rsidRPr="0075724C">
        <w:rPr>
          <w:rFonts w:ascii="Arial" w:eastAsia="SimSun" w:hAnsi="Arial" w:cs="Arial"/>
          <w:kern w:val="3"/>
          <w:lang w:eastAsia="zh-CN" w:bidi="hi-IN"/>
        </w:rPr>
        <w:t>Finalmente</w:t>
      </w:r>
      <w:r w:rsidR="00F3541D">
        <w:rPr>
          <w:rFonts w:ascii="Arial" w:eastAsia="SimSun" w:hAnsi="Arial" w:cs="Arial"/>
          <w:kern w:val="3"/>
          <w:lang w:eastAsia="zh-CN" w:bidi="hi-IN"/>
        </w:rPr>
        <w:t>,</w:t>
      </w:r>
      <w:r w:rsidRPr="0075724C">
        <w:rPr>
          <w:rFonts w:ascii="Arial" w:eastAsia="SimSun" w:hAnsi="Arial" w:cs="Arial"/>
          <w:kern w:val="3"/>
          <w:lang w:eastAsia="zh-CN" w:bidi="hi-IN"/>
        </w:rPr>
        <w:t xml:space="preserve"> se aborda el endeudamiento: importe de deuda pública (en varias variables), operaciones de préstamo y crédito, avales y operaciones de arrendamiento financiero.</w:t>
      </w:r>
    </w:p>
    <w:p w:rsidR="0075724C" w:rsidRPr="0075724C" w:rsidRDefault="00645526" w:rsidP="00134F50">
      <w:pPr>
        <w:numPr>
          <w:ilvl w:val="2"/>
          <w:numId w:val="18"/>
        </w:numPr>
        <w:spacing w:before="480" w:after="100" w:afterAutospacing="1" w:line="360" w:lineRule="auto"/>
        <w:ind w:left="1225" w:hanging="505"/>
        <w:outlineLvl w:val="1"/>
        <w:rPr>
          <w:rFonts w:ascii="Arial" w:eastAsia="SimSun" w:hAnsi="Arial" w:cs="Arial"/>
          <w:b/>
          <w:color w:val="2E74B5"/>
          <w:lang w:val="es-ES_tradnl" w:eastAsia="es-ES_tradnl"/>
        </w:rPr>
      </w:pPr>
      <w:bookmarkStart w:id="60" w:name="_Toc64153821"/>
      <w:bookmarkStart w:id="61" w:name="_Toc98333314"/>
      <w:r>
        <w:rPr>
          <w:rFonts w:ascii="Arial" w:eastAsia="SimSun" w:hAnsi="Arial" w:cs="Arial"/>
          <w:b/>
          <w:color w:val="2E74B5"/>
          <w:lang w:val="es-ES_tradnl" w:eastAsia="es-ES_tradnl"/>
        </w:rPr>
        <w:t xml:space="preserve"> </w:t>
      </w:r>
      <w:r w:rsidR="0075724C" w:rsidRPr="0075724C">
        <w:rPr>
          <w:rFonts w:ascii="Arial" w:eastAsia="SimSun" w:hAnsi="Arial" w:cs="Arial"/>
          <w:b/>
          <w:color w:val="2E74B5"/>
          <w:lang w:val="es-ES_tradnl" w:eastAsia="es-ES_tradnl"/>
        </w:rPr>
        <w:t>Información del patrimonio.</w:t>
      </w:r>
      <w:bookmarkEnd w:id="60"/>
      <w:bookmarkEnd w:id="61"/>
    </w:p>
    <w:p w:rsidR="0075724C" w:rsidRPr="0075724C" w:rsidRDefault="007D68DA" w:rsidP="0075724C">
      <w:pPr>
        <w:widowControl w:val="0"/>
        <w:suppressAutoHyphens/>
        <w:autoSpaceDN w:val="0"/>
        <w:spacing w:before="240" w:after="0" w:line="240" w:lineRule="auto"/>
        <w:jc w:val="both"/>
        <w:rPr>
          <w:rFonts w:ascii="Arial" w:eastAsia="SimSun" w:hAnsi="Arial" w:cs="Arial"/>
          <w:kern w:val="3"/>
          <w:lang w:eastAsia="zh-CN" w:bidi="hi-IN"/>
        </w:rPr>
      </w:pPr>
      <w:r>
        <w:rPr>
          <w:rFonts w:ascii="Arial" w:eastAsia="SimSun" w:hAnsi="Arial" w:cs="Arial"/>
          <w:kern w:val="3"/>
          <w:lang w:eastAsia="zh-CN" w:bidi="hi-IN"/>
        </w:rPr>
        <w:t>La l</w:t>
      </w:r>
      <w:r w:rsidR="0075724C" w:rsidRPr="0075724C">
        <w:rPr>
          <w:rFonts w:ascii="Arial" w:eastAsia="SimSun" w:hAnsi="Arial" w:cs="Arial"/>
          <w:kern w:val="3"/>
          <w:lang w:eastAsia="zh-CN" w:bidi="hi-IN"/>
        </w:rPr>
        <w:t>ey establece la obligación de publicar información relativa a los bienes que integran el patrimonio de la Administración de la Comunidad de Madrid, lo que se materializa en el Portal de Transparencia en la pestaña “Organización y recursos”, dentro del apartado “Patrimonio y bienes de la Administración”.</w:t>
      </w:r>
    </w:p>
    <w:p w:rsidR="0075724C" w:rsidRPr="007D68DA" w:rsidRDefault="0075724C" w:rsidP="0075724C">
      <w:pPr>
        <w:widowControl w:val="0"/>
        <w:suppressAutoHyphens/>
        <w:autoSpaceDN w:val="0"/>
        <w:spacing w:before="240" w:after="0" w:line="240" w:lineRule="auto"/>
        <w:jc w:val="both"/>
        <w:rPr>
          <w:rFonts w:ascii="Arial" w:eastAsia="SimSun" w:hAnsi="Arial" w:cs="Arial"/>
          <w:kern w:val="3"/>
          <w:lang w:eastAsia="zh-CN" w:bidi="hi-IN"/>
        </w:rPr>
      </w:pPr>
      <w:r w:rsidRPr="0075724C">
        <w:rPr>
          <w:rFonts w:ascii="Arial" w:eastAsia="SimSun" w:hAnsi="Arial" w:cs="Arial"/>
          <w:kern w:val="3"/>
          <w:lang w:eastAsia="zh-CN" w:bidi="hi-IN"/>
        </w:rPr>
        <w:t>La información sobre patrimonio se ha actualizado recientemente siguiendo el mismo modelo de datos de años anteriores. Igualmente</w:t>
      </w:r>
      <w:r w:rsidR="007D68DA">
        <w:rPr>
          <w:rFonts w:ascii="Arial" w:eastAsia="SimSun" w:hAnsi="Arial" w:cs="Arial"/>
          <w:kern w:val="3"/>
          <w:lang w:eastAsia="zh-CN" w:bidi="hi-IN"/>
        </w:rPr>
        <w:t>,</w:t>
      </w:r>
      <w:r w:rsidRPr="0075724C">
        <w:rPr>
          <w:rFonts w:ascii="Arial" w:eastAsia="SimSun" w:hAnsi="Arial" w:cs="Arial"/>
          <w:kern w:val="3"/>
          <w:lang w:eastAsia="zh-CN" w:bidi="hi-IN"/>
        </w:rPr>
        <w:t xml:space="preserve"> se ha actualizado la información relativa a vehículos oficiales, donde se recogen aquellos vehículos que son de titularidad de la Administración y son usados para el ejercicio de sus funciones por parte del personal al servicio de la misma</w:t>
      </w:r>
      <w:r w:rsidRPr="007D68DA">
        <w:rPr>
          <w:rFonts w:ascii="Arial" w:eastAsia="SimSun" w:hAnsi="Arial" w:cs="Arial"/>
          <w:kern w:val="3"/>
          <w:lang w:eastAsia="zh-CN" w:bidi="hi-IN"/>
        </w:rPr>
        <w:t>. Se ha mejorado la estructura de la información mediante el uso de catálogos tanto para el uso al que se destinan</w:t>
      </w:r>
      <w:r w:rsidR="00CB624E">
        <w:rPr>
          <w:rFonts w:ascii="Arial" w:eastAsia="SimSun" w:hAnsi="Arial" w:cs="Arial"/>
          <w:kern w:val="3"/>
          <w:lang w:eastAsia="zh-CN" w:bidi="hi-IN"/>
        </w:rPr>
        <w:t>,</w:t>
      </w:r>
      <w:r w:rsidRPr="007D68DA">
        <w:rPr>
          <w:rFonts w:ascii="Arial" w:eastAsia="SimSun" w:hAnsi="Arial" w:cs="Arial"/>
          <w:kern w:val="3"/>
          <w:lang w:eastAsia="zh-CN" w:bidi="hi-IN"/>
        </w:rPr>
        <w:t xml:space="preserve"> como para la categorización de los vehículos. </w:t>
      </w:r>
    </w:p>
    <w:p w:rsidR="0075724C" w:rsidRPr="0075724C" w:rsidRDefault="006362E2" w:rsidP="00134F50">
      <w:pPr>
        <w:numPr>
          <w:ilvl w:val="2"/>
          <w:numId w:val="18"/>
        </w:numPr>
        <w:spacing w:before="480" w:after="100" w:afterAutospacing="1" w:line="360" w:lineRule="auto"/>
        <w:ind w:left="1225" w:hanging="505"/>
        <w:outlineLvl w:val="1"/>
        <w:rPr>
          <w:rFonts w:ascii="Arial" w:eastAsia="SimSun" w:hAnsi="Arial" w:cs="Arial"/>
          <w:b/>
          <w:color w:val="2E74B5"/>
          <w:lang w:val="es-ES_tradnl" w:eastAsia="es-ES_tradnl"/>
        </w:rPr>
      </w:pPr>
      <w:bookmarkStart w:id="62" w:name="_Toc64153822"/>
      <w:bookmarkStart w:id="63" w:name="_Toc98333315"/>
      <w:r>
        <w:rPr>
          <w:rFonts w:ascii="Arial" w:eastAsia="SimSun" w:hAnsi="Arial" w:cs="Arial"/>
          <w:b/>
          <w:color w:val="2E74B5"/>
          <w:lang w:val="es-ES_tradnl" w:eastAsia="es-ES_tradnl"/>
        </w:rPr>
        <w:t xml:space="preserve"> </w:t>
      </w:r>
      <w:r w:rsidR="0075724C" w:rsidRPr="0075724C">
        <w:rPr>
          <w:rFonts w:ascii="Arial" w:eastAsia="SimSun" w:hAnsi="Arial" w:cs="Arial"/>
          <w:b/>
          <w:color w:val="2E74B5"/>
          <w:lang w:val="es-ES_tradnl" w:eastAsia="es-ES_tradnl"/>
        </w:rPr>
        <w:t>Información de la planificación y programación</w:t>
      </w:r>
      <w:bookmarkEnd w:id="62"/>
      <w:bookmarkEnd w:id="63"/>
      <w:r w:rsidR="00251FBF">
        <w:rPr>
          <w:rFonts w:ascii="Arial" w:eastAsia="SimSun" w:hAnsi="Arial" w:cs="Arial"/>
          <w:b/>
          <w:color w:val="2E74B5"/>
          <w:lang w:val="es-ES_tradnl" w:eastAsia="es-ES_tradnl"/>
        </w:rPr>
        <w:t>.</w:t>
      </w:r>
    </w:p>
    <w:p w:rsidR="0075724C" w:rsidRPr="0075724C" w:rsidRDefault="0075724C" w:rsidP="0075724C">
      <w:pPr>
        <w:widowControl w:val="0"/>
        <w:suppressAutoHyphens/>
        <w:autoSpaceDN w:val="0"/>
        <w:spacing w:before="240" w:after="0" w:line="240" w:lineRule="auto"/>
        <w:jc w:val="both"/>
        <w:rPr>
          <w:rFonts w:ascii="Arial" w:eastAsia="SimSun" w:hAnsi="Arial" w:cs="Arial"/>
          <w:kern w:val="3"/>
          <w:lang w:eastAsia="zh-CN" w:bidi="hi-IN"/>
        </w:rPr>
      </w:pPr>
      <w:r w:rsidRPr="0075724C">
        <w:rPr>
          <w:rFonts w:ascii="Arial" w:eastAsia="SimSun" w:hAnsi="Arial" w:cs="Arial"/>
          <w:kern w:val="3"/>
          <w:lang w:eastAsia="zh-CN" w:bidi="hi-IN"/>
        </w:rPr>
        <w:t>Se exige la publicación de información relativa a los instrumentos de plan</w:t>
      </w:r>
      <w:r w:rsidR="00CB624E">
        <w:rPr>
          <w:rFonts w:ascii="Arial" w:eastAsia="SimSun" w:hAnsi="Arial" w:cs="Arial"/>
          <w:kern w:val="3"/>
          <w:lang w:eastAsia="zh-CN" w:bidi="hi-IN"/>
        </w:rPr>
        <w:t xml:space="preserve">ificación que permita conocer </w:t>
      </w:r>
      <w:r w:rsidRPr="0075724C">
        <w:rPr>
          <w:rFonts w:ascii="Arial" w:eastAsia="SimSun" w:hAnsi="Arial" w:cs="Arial"/>
          <w:kern w:val="3"/>
          <w:lang w:eastAsia="zh-CN" w:bidi="hi-IN"/>
        </w:rPr>
        <w:t>la progr</w:t>
      </w:r>
      <w:r w:rsidR="00CB624E">
        <w:rPr>
          <w:rFonts w:ascii="Arial" w:eastAsia="SimSun" w:hAnsi="Arial" w:cs="Arial"/>
          <w:kern w:val="3"/>
          <w:lang w:eastAsia="zh-CN" w:bidi="hi-IN"/>
        </w:rPr>
        <w:t xml:space="preserve">amación de actuaciones futuras, </w:t>
      </w:r>
      <w:r w:rsidRPr="0075724C">
        <w:rPr>
          <w:rFonts w:ascii="Arial" w:eastAsia="SimSun" w:hAnsi="Arial" w:cs="Arial"/>
          <w:kern w:val="3"/>
          <w:lang w:eastAsia="zh-CN" w:bidi="hi-IN"/>
        </w:rPr>
        <w:t xml:space="preserve">el estado de ejecución de aquellas ya iniciadas, y el grado de cumplimiento de los objetivos marcados. Esta información se encuentra publicada en la pestaña “Normativa y planificación”. </w:t>
      </w:r>
    </w:p>
    <w:p w:rsidR="0075724C" w:rsidRPr="0075724C" w:rsidRDefault="0075724C" w:rsidP="00134F50">
      <w:pPr>
        <w:numPr>
          <w:ilvl w:val="2"/>
          <w:numId w:val="18"/>
        </w:numPr>
        <w:spacing w:before="480" w:after="100" w:afterAutospacing="1" w:line="360" w:lineRule="auto"/>
        <w:ind w:left="1225" w:hanging="505"/>
        <w:outlineLvl w:val="1"/>
        <w:rPr>
          <w:rFonts w:ascii="Arial" w:eastAsia="SimSun" w:hAnsi="Arial" w:cs="Arial"/>
          <w:b/>
          <w:color w:val="2E74B5"/>
          <w:lang w:val="es-ES_tradnl" w:eastAsia="es-ES_tradnl"/>
        </w:rPr>
      </w:pPr>
      <w:bookmarkStart w:id="64" w:name="_Toc64153824"/>
      <w:bookmarkStart w:id="65" w:name="_Toc98333316"/>
      <w:r w:rsidRPr="0075724C">
        <w:rPr>
          <w:rFonts w:ascii="Arial" w:eastAsia="SimSun" w:hAnsi="Arial" w:cs="Arial"/>
          <w:b/>
          <w:color w:val="2E74B5"/>
          <w:lang w:val="es-ES_tradnl" w:eastAsia="es-ES_tradnl"/>
        </w:rPr>
        <w:t>Información de contratos.</w:t>
      </w:r>
      <w:bookmarkEnd w:id="64"/>
      <w:bookmarkEnd w:id="65"/>
    </w:p>
    <w:p w:rsidR="0075724C" w:rsidRPr="0075724C" w:rsidRDefault="0014226A" w:rsidP="0075724C">
      <w:pPr>
        <w:widowControl w:val="0"/>
        <w:suppressAutoHyphens/>
        <w:autoSpaceDN w:val="0"/>
        <w:spacing w:before="240" w:after="0" w:line="240" w:lineRule="auto"/>
        <w:jc w:val="both"/>
        <w:rPr>
          <w:rFonts w:ascii="Arial" w:eastAsia="SimSun" w:hAnsi="Arial" w:cs="Arial"/>
          <w:kern w:val="3"/>
          <w:lang w:eastAsia="zh-CN" w:bidi="hi-IN"/>
        </w:rPr>
      </w:pPr>
      <w:r>
        <w:rPr>
          <w:rFonts w:ascii="Arial" w:eastAsia="SimSun" w:hAnsi="Arial" w:cs="Arial"/>
          <w:kern w:val="3"/>
          <w:lang w:eastAsia="zh-CN" w:bidi="hi-IN"/>
        </w:rPr>
        <w:t>La l</w:t>
      </w:r>
      <w:r w:rsidR="0075724C" w:rsidRPr="0075724C">
        <w:rPr>
          <w:rFonts w:ascii="Arial" w:eastAsia="SimSun" w:hAnsi="Arial" w:cs="Arial"/>
          <w:kern w:val="3"/>
          <w:lang w:eastAsia="zh-CN" w:bidi="hi-IN"/>
        </w:rPr>
        <w:t>ey establece la publicación de información, datos y documentos sobre los contratos</w:t>
      </w:r>
      <w:r w:rsidR="0075724C" w:rsidRPr="0075724C">
        <w:rPr>
          <w:rFonts w:ascii="Arial" w:eastAsia="SimSun" w:hAnsi="Arial" w:cs="Arial"/>
          <w:kern w:val="3"/>
          <w:sz w:val="20"/>
          <w:szCs w:val="24"/>
          <w:lang w:eastAsia="zh-CN" w:bidi="hi-IN"/>
        </w:rPr>
        <w:t xml:space="preserve"> </w:t>
      </w:r>
      <w:r w:rsidR="0075724C" w:rsidRPr="0075724C">
        <w:rPr>
          <w:rFonts w:ascii="Arial" w:eastAsia="SimSun" w:hAnsi="Arial" w:cs="Arial"/>
          <w:kern w:val="3"/>
          <w:lang w:eastAsia="zh-CN" w:bidi="hi-IN"/>
        </w:rPr>
        <w:t>celebrados por la Comunidad de Madrid referida, tanto a la actividad general de contratación, como en relación a algunos contratos concretos: menores, obras públicas y concesión de servicios públicos.</w:t>
      </w:r>
    </w:p>
    <w:p w:rsidR="00476EC0" w:rsidRDefault="00BA368C" w:rsidP="00BA368C">
      <w:pPr>
        <w:rPr>
          <w:rFonts w:ascii="Arial" w:eastAsia="SimSun" w:hAnsi="Arial" w:cs="Arial"/>
          <w:kern w:val="3"/>
          <w:lang w:eastAsia="zh-CN" w:bidi="hi-IN"/>
        </w:rPr>
      </w:pPr>
      <w:r>
        <w:rPr>
          <w:rFonts w:ascii="Arial" w:eastAsia="SimSun" w:hAnsi="Arial" w:cs="Arial"/>
          <w:kern w:val="3"/>
          <w:lang w:eastAsia="zh-CN" w:bidi="hi-IN"/>
        </w:rPr>
        <w:br w:type="page"/>
      </w:r>
    </w:p>
    <w:p w:rsidR="0075724C" w:rsidRPr="0075724C" w:rsidRDefault="0075724C" w:rsidP="0075724C">
      <w:pPr>
        <w:widowControl w:val="0"/>
        <w:suppressAutoHyphens/>
        <w:autoSpaceDN w:val="0"/>
        <w:spacing w:before="240" w:after="0" w:line="240" w:lineRule="auto"/>
        <w:jc w:val="both"/>
        <w:rPr>
          <w:rFonts w:ascii="Arial" w:eastAsia="SimSun" w:hAnsi="Arial" w:cs="Arial"/>
          <w:kern w:val="3"/>
          <w:lang w:eastAsia="zh-CN" w:bidi="hi-IN"/>
        </w:rPr>
      </w:pPr>
      <w:r w:rsidRPr="0075724C">
        <w:rPr>
          <w:rFonts w:ascii="Arial" w:eastAsia="SimSun" w:hAnsi="Arial" w:cs="Arial"/>
          <w:kern w:val="3"/>
          <w:lang w:eastAsia="zh-CN" w:bidi="hi-IN"/>
        </w:rPr>
        <w:lastRenderedPageBreak/>
        <w:t xml:space="preserve">Las obligaciones establecidas en la LTPCM tienen por finalidad permitir conocer el detalle de los contratos, así como la estructura organizativa encargada de su gestión. </w:t>
      </w:r>
    </w:p>
    <w:p w:rsidR="0075724C" w:rsidRPr="0075724C" w:rsidRDefault="0075724C" w:rsidP="0075724C">
      <w:pPr>
        <w:widowControl w:val="0"/>
        <w:suppressAutoHyphens/>
        <w:autoSpaceDN w:val="0"/>
        <w:spacing w:before="240" w:after="0" w:line="240" w:lineRule="auto"/>
        <w:jc w:val="both"/>
        <w:rPr>
          <w:rFonts w:ascii="Arial" w:eastAsia="SimSun" w:hAnsi="Arial" w:cs="Arial"/>
          <w:kern w:val="3"/>
          <w:lang w:eastAsia="zh-CN" w:bidi="hi-IN"/>
        </w:rPr>
      </w:pPr>
      <w:r w:rsidRPr="0075724C">
        <w:rPr>
          <w:rFonts w:ascii="Arial" w:eastAsia="SimSun" w:hAnsi="Arial" w:cs="Arial"/>
          <w:kern w:val="3"/>
          <w:lang w:eastAsia="zh-CN" w:bidi="hi-IN"/>
        </w:rPr>
        <w:t>Esta información se encuentra publicada en la pestaña “Presupuestos, contratos y subvenciones”, en el apartado “contratos”, en el que de manera estructura se presentan enlaces al Portal de la Contratación Pública de la Comunidad de Madrid, que se configura, por la normativa propia en materi</w:t>
      </w:r>
      <w:r w:rsidR="00251FBF">
        <w:rPr>
          <w:rFonts w:ascii="Arial" w:eastAsia="SimSun" w:hAnsi="Arial" w:cs="Arial"/>
          <w:kern w:val="3"/>
          <w:lang w:eastAsia="zh-CN" w:bidi="hi-IN"/>
        </w:rPr>
        <w:t>a de contratos, como el lugar do</w:t>
      </w:r>
      <w:r w:rsidRPr="0075724C">
        <w:rPr>
          <w:rFonts w:ascii="Arial" w:eastAsia="SimSun" w:hAnsi="Arial" w:cs="Arial"/>
          <w:kern w:val="3"/>
          <w:lang w:eastAsia="zh-CN" w:bidi="hi-IN"/>
        </w:rPr>
        <w:t xml:space="preserve">nde dar cumplimiento a las obligaciones de publicidad activa. En el </w:t>
      </w:r>
      <w:r w:rsidR="007E5914">
        <w:rPr>
          <w:rFonts w:ascii="Arial" w:eastAsia="SimSun" w:hAnsi="Arial" w:cs="Arial"/>
          <w:kern w:val="3"/>
          <w:lang w:eastAsia="zh-CN" w:bidi="hi-IN"/>
        </w:rPr>
        <w:t>año 2022 se ha modificado este P</w:t>
      </w:r>
      <w:r w:rsidRPr="0075724C">
        <w:rPr>
          <w:rFonts w:ascii="Arial" w:eastAsia="SimSun" w:hAnsi="Arial" w:cs="Arial"/>
          <w:kern w:val="3"/>
          <w:lang w:eastAsia="zh-CN" w:bidi="hi-IN"/>
        </w:rPr>
        <w:t xml:space="preserve">ortal, mejorando su accesibilidad.  </w:t>
      </w:r>
    </w:p>
    <w:p w:rsidR="0075724C" w:rsidRPr="0075724C" w:rsidRDefault="0075724C" w:rsidP="0075724C">
      <w:pPr>
        <w:widowControl w:val="0"/>
        <w:suppressAutoHyphens/>
        <w:autoSpaceDN w:val="0"/>
        <w:spacing w:before="240" w:after="0" w:line="240" w:lineRule="auto"/>
        <w:jc w:val="both"/>
        <w:rPr>
          <w:rFonts w:ascii="Arial" w:eastAsia="SimSun" w:hAnsi="Arial" w:cs="Arial"/>
          <w:kern w:val="3"/>
          <w:lang w:eastAsia="zh-CN" w:bidi="hi-IN"/>
        </w:rPr>
      </w:pPr>
      <w:r w:rsidRPr="0075724C">
        <w:rPr>
          <w:rFonts w:ascii="Arial" w:eastAsia="SimSun" w:hAnsi="Arial" w:cs="Arial"/>
          <w:kern w:val="3"/>
          <w:lang w:eastAsia="zh-CN" w:bidi="hi-IN"/>
        </w:rPr>
        <w:t>Cada contrato cuenta con una ficha en la que se publica la información y documentos exigidos tanto po</w:t>
      </w:r>
      <w:r w:rsidR="0014226A">
        <w:rPr>
          <w:rFonts w:ascii="Arial" w:eastAsia="SimSun" w:hAnsi="Arial" w:cs="Arial"/>
          <w:kern w:val="3"/>
          <w:lang w:eastAsia="zh-CN" w:bidi="hi-IN"/>
        </w:rPr>
        <w:t>r la LTPCM como por la Ley de Contratos del Sector P</w:t>
      </w:r>
      <w:r w:rsidRPr="0075724C">
        <w:rPr>
          <w:rFonts w:ascii="Arial" w:eastAsia="SimSun" w:hAnsi="Arial" w:cs="Arial"/>
          <w:kern w:val="3"/>
          <w:lang w:eastAsia="zh-CN" w:bidi="hi-IN"/>
        </w:rPr>
        <w:t>úblico. La publicación de la información corresponde a</w:t>
      </w:r>
      <w:r w:rsidR="007D68DA">
        <w:rPr>
          <w:rFonts w:ascii="Arial" w:eastAsia="SimSun" w:hAnsi="Arial" w:cs="Arial"/>
          <w:kern w:val="3"/>
          <w:lang w:eastAsia="zh-CN" w:bidi="hi-IN"/>
        </w:rPr>
        <w:t xml:space="preserve"> la c</w:t>
      </w:r>
      <w:r w:rsidRPr="0075724C">
        <w:rPr>
          <w:rFonts w:ascii="Arial" w:eastAsia="SimSun" w:hAnsi="Arial" w:cs="Arial"/>
          <w:kern w:val="3"/>
          <w:lang w:eastAsia="zh-CN" w:bidi="hi-IN"/>
        </w:rPr>
        <w:t>onsejería promotora de cada contrato.</w:t>
      </w:r>
    </w:p>
    <w:p w:rsidR="0075724C" w:rsidRPr="0075724C" w:rsidRDefault="0075724C" w:rsidP="0075724C">
      <w:pPr>
        <w:widowControl w:val="0"/>
        <w:suppressAutoHyphens/>
        <w:autoSpaceDN w:val="0"/>
        <w:spacing w:before="240" w:after="0" w:line="240" w:lineRule="auto"/>
        <w:jc w:val="both"/>
        <w:rPr>
          <w:rFonts w:ascii="Arial" w:eastAsia="SimSun" w:hAnsi="Arial" w:cs="Arial"/>
          <w:kern w:val="3"/>
          <w:lang w:eastAsia="zh-CN" w:bidi="hi-IN"/>
        </w:rPr>
      </w:pPr>
      <w:r w:rsidRPr="0075724C">
        <w:rPr>
          <w:rFonts w:ascii="Arial" w:eastAsia="SimSun" w:hAnsi="Arial" w:cs="Arial"/>
          <w:kern w:val="3"/>
          <w:lang w:eastAsia="zh-CN" w:bidi="hi-IN"/>
        </w:rPr>
        <w:t>Con carácter general, la información de contratos se está publicando conforme a las prescripciones de la LTPCM, aunque hay que tener en cuenta que los criterios y filtros de búsqueda en esta materia vienen marcados por normativa estatal</w:t>
      </w:r>
      <w:r w:rsidR="00476EC0">
        <w:rPr>
          <w:rFonts w:ascii="Arial" w:eastAsia="SimSun" w:hAnsi="Arial" w:cs="Arial"/>
          <w:kern w:val="3"/>
          <w:lang w:eastAsia="zh-CN" w:bidi="hi-IN"/>
        </w:rPr>
        <w:t>,</w:t>
      </w:r>
      <w:r w:rsidRPr="0075724C">
        <w:rPr>
          <w:rFonts w:ascii="Arial" w:eastAsia="SimSun" w:hAnsi="Arial" w:cs="Arial"/>
          <w:kern w:val="3"/>
          <w:lang w:eastAsia="zh-CN" w:bidi="hi-IN"/>
        </w:rPr>
        <w:t xml:space="preserve"> cuya finalidad es la homogeneidad en todos los portales de contratación de las administraciones públicas, y estos requisitos no siempre están alineados con las exigencias de la LTPCM. </w:t>
      </w:r>
    </w:p>
    <w:p w:rsidR="0075724C" w:rsidRPr="0075724C" w:rsidRDefault="0075724C" w:rsidP="0075724C">
      <w:pPr>
        <w:widowControl w:val="0"/>
        <w:suppressAutoHyphens/>
        <w:autoSpaceDN w:val="0"/>
        <w:spacing w:before="240" w:after="0" w:line="240" w:lineRule="auto"/>
        <w:jc w:val="both"/>
        <w:rPr>
          <w:rFonts w:ascii="Arial" w:eastAsia="SimSun" w:hAnsi="Arial" w:cs="Arial"/>
          <w:kern w:val="3"/>
          <w:sz w:val="20"/>
          <w:szCs w:val="24"/>
          <w:shd w:val="clear" w:color="auto" w:fill="FFFFFF"/>
          <w:lang w:eastAsia="zh-CN" w:bidi="hi-IN"/>
        </w:rPr>
      </w:pPr>
      <w:r w:rsidRPr="0075724C">
        <w:rPr>
          <w:rFonts w:ascii="Arial" w:eastAsia="SimSun" w:hAnsi="Arial" w:cs="Arial"/>
          <w:kern w:val="3"/>
          <w:lang w:eastAsia="zh-CN" w:bidi="hi-IN"/>
        </w:rPr>
        <w:t>En el año 2022 e</w:t>
      </w:r>
      <w:r w:rsidR="007E5914">
        <w:rPr>
          <w:rFonts w:ascii="Arial" w:eastAsia="SimSun" w:hAnsi="Arial" w:cs="Arial"/>
          <w:kern w:val="3"/>
          <w:lang w:eastAsia="zh-CN" w:bidi="hi-IN"/>
        </w:rPr>
        <w:t>n el apartado de contratos del Portal de T</w:t>
      </w:r>
      <w:r w:rsidRPr="0075724C">
        <w:rPr>
          <w:rFonts w:ascii="Arial" w:eastAsia="SimSun" w:hAnsi="Arial" w:cs="Arial"/>
          <w:kern w:val="3"/>
          <w:lang w:eastAsia="zh-CN" w:bidi="hi-IN"/>
        </w:rPr>
        <w:t xml:space="preserve">ransparencia se ha añadido un nuevo contenido referido a la documentación generada por la </w:t>
      </w:r>
      <w:r w:rsidRPr="0075724C">
        <w:rPr>
          <w:rFonts w:ascii="Arial" w:eastAsia="SimSun" w:hAnsi="Arial" w:cs="Arial"/>
          <w:kern w:val="3"/>
          <w:shd w:val="clear" w:color="auto" w:fill="FFFFFF"/>
          <w:lang w:eastAsia="zh-CN" w:bidi="hi-IN"/>
        </w:rPr>
        <w:t>Comisión de Evaluación F</w:t>
      </w:r>
      <w:r w:rsidR="007D68DA">
        <w:rPr>
          <w:rFonts w:ascii="Arial" w:eastAsia="SimSun" w:hAnsi="Arial" w:cs="Arial"/>
          <w:kern w:val="3"/>
          <w:shd w:val="clear" w:color="auto" w:fill="FFFFFF"/>
          <w:lang w:eastAsia="zh-CN" w:bidi="hi-IN"/>
        </w:rPr>
        <w:t xml:space="preserve">inanciera creada por el Decreto </w:t>
      </w:r>
      <w:r w:rsidRPr="0075724C">
        <w:rPr>
          <w:rFonts w:ascii="Arial" w:eastAsia="SimSun" w:hAnsi="Arial" w:cs="Arial"/>
          <w:kern w:val="3"/>
          <w:shd w:val="clear" w:color="auto" w:fill="FFFFFF"/>
          <w:lang w:eastAsia="zh-CN" w:bidi="hi-IN"/>
        </w:rPr>
        <w:t>27/2022, de 4 de mayo, con la finalidad de informar acerca de la sostenibilidad financiera de los contratos de concesión de obras y de servicios, y de los acuerdos de restablecimiento del equilibrio económico.</w:t>
      </w:r>
    </w:p>
    <w:p w:rsidR="0075724C" w:rsidRPr="0075724C" w:rsidRDefault="0075724C" w:rsidP="00134F50">
      <w:pPr>
        <w:numPr>
          <w:ilvl w:val="2"/>
          <w:numId w:val="18"/>
        </w:numPr>
        <w:spacing w:before="480" w:after="100" w:afterAutospacing="1" w:line="360" w:lineRule="auto"/>
        <w:ind w:left="709" w:firstLine="11"/>
        <w:outlineLvl w:val="1"/>
        <w:rPr>
          <w:rFonts w:ascii="Arial" w:eastAsia="SimSun" w:hAnsi="Arial" w:cs="Arial"/>
          <w:b/>
          <w:color w:val="2E74B5"/>
          <w:lang w:val="es-ES_tradnl" w:eastAsia="es-ES_tradnl"/>
        </w:rPr>
      </w:pPr>
      <w:bookmarkStart w:id="66" w:name="_Toc64153825"/>
      <w:bookmarkStart w:id="67" w:name="_Toc98333317"/>
      <w:r w:rsidRPr="0075724C">
        <w:rPr>
          <w:rFonts w:ascii="Arial" w:eastAsia="SimSun" w:hAnsi="Arial" w:cs="Arial"/>
          <w:b/>
          <w:color w:val="2E74B5"/>
          <w:lang w:val="es-ES_tradnl" w:eastAsia="es-ES_tradnl"/>
        </w:rPr>
        <w:t>Información de los convenios, encomiendas de gestión y encargos a medios propios.</w:t>
      </w:r>
      <w:bookmarkEnd w:id="66"/>
      <w:bookmarkEnd w:id="67"/>
    </w:p>
    <w:p w:rsidR="0075724C" w:rsidRPr="0075724C" w:rsidRDefault="007D68DA" w:rsidP="0075724C">
      <w:pPr>
        <w:widowControl w:val="0"/>
        <w:suppressAutoHyphens/>
        <w:autoSpaceDN w:val="0"/>
        <w:spacing w:before="240" w:after="0" w:line="240" w:lineRule="auto"/>
        <w:jc w:val="both"/>
        <w:rPr>
          <w:rFonts w:ascii="Arial" w:eastAsia="SimSun" w:hAnsi="Arial" w:cs="Arial"/>
          <w:kern w:val="3"/>
          <w:lang w:eastAsia="zh-CN" w:bidi="hi-IN"/>
        </w:rPr>
      </w:pPr>
      <w:r>
        <w:rPr>
          <w:rFonts w:ascii="Arial" w:eastAsia="SimSun" w:hAnsi="Arial" w:cs="Arial"/>
          <w:kern w:val="3"/>
          <w:lang w:eastAsia="zh-CN" w:bidi="hi-IN"/>
        </w:rPr>
        <w:t>La l</w:t>
      </w:r>
      <w:r w:rsidR="0075724C" w:rsidRPr="0075724C">
        <w:rPr>
          <w:rFonts w:ascii="Arial" w:eastAsia="SimSun" w:hAnsi="Arial" w:cs="Arial"/>
          <w:kern w:val="3"/>
          <w:lang w:eastAsia="zh-CN" w:bidi="hi-IN"/>
        </w:rPr>
        <w:t>ey establece la exigencia de publicar información, con gran nivel de detalle, relativa a la actuación de la Administración en colaboración o mediante actuaciones de terceros, información que se encuentra publicada en la pestaña “Presupuestos, contratos y subvenciones”, en distintos apartados dada su diferente naturaleza jurídica.</w:t>
      </w:r>
    </w:p>
    <w:p w:rsidR="0075724C" w:rsidRPr="0075724C" w:rsidRDefault="0075724C" w:rsidP="0075724C">
      <w:pPr>
        <w:widowControl w:val="0"/>
        <w:suppressAutoHyphens/>
        <w:autoSpaceDN w:val="0"/>
        <w:spacing w:before="240" w:after="0" w:line="240" w:lineRule="auto"/>
        <w:jc w:val="both"/>
        <w:rPr>
          <w:rFonts w:ascii="Arial" w:eastAsia="SimSun" w:hAnsi="Arial" w:cs="Arial"/>
          <w:kern w:val="3"/>
          <w:lang w:eastAsia="zh-CN" w:bidi="hi-IN"/>
        </w:rPr>
      </w:pPr>
      <w:r w:rsidRPr="0075724C">
        <w:rPr>
          <w:rFonts w:ascii="Arial" w:eastAsia="SimSun" w:hAnsi="Arial" w:cs="Arial"/>
          <w:kern w:val="3"/>
          <w:lang w:eastAsia="zh-CN" w:bidi="hi-IN"/>
        </w:rPr>
        <w:t>En relación a la actividad convencional de la Administración de la Comunidad de Madrid, desde el Registro de Convenios se facilita la información exigida por la LTPCM, con mención de las partes firmantes, su objeto, obligaciones económicas, plazo y condiciones de vigencia, objeto y fecha de las distintas modificaciones realizadas, boletín oficial en que se publican y registro en el que están inscritos los Convenios. Asimismo, desde el buscador de convenios se puede descargar el convenio firmado, que recoge toda la información.</w:t>
      </w:r>
    </w:p>
    <w:p w:rsidR="0075724C" w:rsidRPr="0075724C" w:rsidRDefault="0075724C" w:rsidP="0075724C">
      <w:pPr>
        <w:widowControl w:val="0"/>
        <w:suppressAutoHyphens/>
        <w:autoSpaceDN w:val="0"/>
        <w:spacing w:before="240" w:after="0" w:line="240" w:lineRule="auto"/>
        <w:jc w:val="both"/>
        <w:rPr>
          <w:rFonts w:ascii="Arial" w:eastAsia="SimSun" w:hAnsi="Arial" w:cs="Arial"/>
          <w:kern w:val="3"/>
          <w:lang w:eastAsia="zh-CN" w:bidi="hi-IN"/>
        </w:rPr>
      </w:pPr>
      <w:r w:rsidRPr="0075724C">
        <w:rPr>
          <w:rFonts w:ascii="Arial" w:eastAsia="SimSun" w:hAnsi="Arial" w:cs="Arial"/>
          <w:kern w:val="3"/>
          <w:lang w:eastAsia="zh-CN" w:bidi="hi-IN"/>
        </w:rPr>
        <w:t xml:space="preserve">Los encargos a medios propios se regulan por la Ley de Contratos del Sector Público, por lo que se encuentran publicados en el Portal de Contratación. En aras de facilitar la accesibilidad se ha incluido un enlace directo. </w:t>
      </w:r>
    </w:p>
    <w:p w:rsidR="0075724C" w:rsidRPr="0075724C" w:rsidRDefault="0075724C" w:rsidP="00134F50">
      <w:pPr>
        <w:numPr>
          <w:ilvl w:val="2"/>
          <w:numId w:val="18"/>
        </w:numPr>
        <w:spacing w:before="480" w:after="100" w:afterAutospacing="1" w:line="360" w:lineRule="auto"/>
        <w:ind w:left="1225" w:hanging="505"/>
        <w:outlineLvl w:val="1"/>
        <w:rPr>
          <w:rFonts w:ascii="Arial" w:eastAsia="SimSun" w:hAnsi="Arial" w:cs="Arial"/>
          <w:b/>
          <w:color w:val="2E74B5"/>
          <w:lang w:val="es-ES_tradnl" w:eastAsia="es-ES_tradnl"/>
        </w:rPr>
      </w:pPr>
      <w:bookmarkStart w:id="68" w:name="_Toc64153827"/>
      <w:bookmarkStart w:id="69" w:name="_Toc98333318"/>
      <w:r w:rsidRPr="0075724C">
        <w:rPr>
          <w:rFonts w:ascii="Arial" w:eastAsia="SimSun" w:hAnsi="Arial" w:cs="Arial"/>
          <w:b/>
          <w:color w:val="2E74B5"/>
          <w:lang w:val="es-ES_tradnl" w:eastAsia="es-ES_tradnl"/>
        </w:rPr>
        <w:t>Información de las ayudas y subvenciones.</w:t>
      </w:r>
      <w:bookmarkEnd w:id="68"/>
      <w:bookmarkEnd w:id="69"/>
    </w:p>
    <w:p w:rsidR="00A730EC" w:rsidRDefault="0075724C" w:rsidP="00476EC0">
      <w:pPr>
        <w:widowControl w:val="0"/>
        <w:suppressAutoHyphens/>
        <w:autoSpaceDN w:val="0"/>
        <w:spacing w:before="240" w:after="0" w:line="240" w:lineRule="auto"/>
        <w:jc w:val="both"/>
        <w:rPr>
          <w:rFonts w:ascii="Arial" w:eastAsia="SimSun" w:hAnsi="Arial" w:cs="Arial"/>
          <w:kern w:val="3"/>
          <w:lang w:eastAsia="zh-CN" w:bidi="hi-IN"/>
        </w:rPr>
      </w:pPr>
      <w:r w:rsidRPr="0075724C">
        <w:rPr>
          <w:rFonts w:ascii="Arial" w:eastAsia="SimSun" w:hAnsi="Arial" w:cs="Arial"/>
          <w:kern w:val="3"/>
          <w:lang w:eastAsia="zh-CN" w:bidi="hi-IN"/>
        </w:rPr>
        <w:t xml:space="preserve">La LTPCM exige la publicación de diversa información que permita conocer la planificación y desarrollo de las actuaciones financiadas a través de ayudas y subvenciones. Esta información se encuentra publicada en la pestaña “Presupuestos, contratos y subvenciones”. </w:t>
      </w:r>
      <w:r w:rsidR="00A730EC">
        <w:rPr>
          <w:rFonts w:ascii="Arial" w:eastAsia="SimSun" w:hAnsi="Arial" w:cs="Arial"/>
          <w:kern w:val="3"/>
          <w:lang w:eastAsia="zh-CN" w:bidi="hi-IN"/>
        </w:rPr>
        <w:br w:type="page"/>
      </w:r>
    </w:p>
    <w:p w:rsidR="009A5956" w:rsidRPr="009A5956" w:rsidRDefault="00E14145" w:rsidP="009A5956">
      <w:pPr>
        <w:widowControl w:val="0"/>
        <w:suppressAutoHyphens/>
        <w:autoSpaceDN w:val="0"/>
        <w:spacing w:before="240" w:after="0" w:line="240" w:lineRule="auto"/>
        <w:jc w:val="both"/>
        <w:rPr>
          <w:rFonts w:ascii="Arial" w:eastAsia="SimSun" w:hAnsi="Arial" w:cs="Arial"/>
          <w:kern w:val="3"/>
          <w:lang w:eastAsia="zh-CN" w:bidi="hi-IN"/>
        </w:rPr>
      </w:pPr>
      <w:r>
        <w:rPr>
          <w:rFonts w:ascii="Arial" w:eastAsia="SimSun" w:hAnsi="Arial" w:cs="Arial"/>
          <w:kern w:val="3"/>
          <w:lang w:eastAsia="zh-CN" w:bidi="hi-IN"/>
        </w:rPr>
        <w:lastRenderedPageBreak/>
        <w:t>En concreto, la l</w:t>
      </w:r>
      <w:r w:rsidR="0075724C" w:rsidRPr="0075724C">
        <w:rPr>
          <w:rFonts w:ascii="Arial" w:eastAsia="SimSun" w:hAnsi="Arial" w:cs="Arial"/>
          <w:kern w:val="3"/>
          <w:lang w:eastAsia="zh-CN" w:bidi="hi-IN"/>
        </w:rPr>
        <w:t xml:space="preserve">ey </w:t>
      </w:r>
      <w:r>
        <w:rPr>
          <w:rFonts w:ascii="Arial" w:eastAsia="SimSun" w:hAnsi="Arial" w:cs="Arial"/>
          <w:kern w:val="3"/>
          <w:lang w:eastAsia="zh-CN" w:bidi="hi-IN"/>
        </w:rPr>
        <w:t xml:space="preserve">se refiere </w:t>
      </w:r>
      <w:r w:rsidR="0075724C" w:rsidRPr="0075724C">
        <w:rPr>
          <w:rFonts w:ascii="Arial" w:eastAsia="SimSun" w:hAnsi="Arial" w:cs="Arial"/>
          <w:kern w:val="3"/>
          <w:lang w:eastAsia="zh-CN" w:bidi="hi-IN"/>
        </w:rPr>
        <w:t>a los planes estratégicos, la relación de líneas de ayudas o subvenciones cuya convocatoria esté prevista durante cada ejercicio, la fórmula de cálculo para la determ</w:t>
      </w:r>
      <w:r w:rsidR="00EE6992">
        <w:rPr>
          <w:rFonts w:ascii="Arial" w:eastAsia="SimSun" w:hAnsi="Arial" w:cs="Arial"/>
          <w:kern w:val="3"/>
          <w:lang w:eastAsia="zh-CN" w:bidi="hi-IN"/>
        </w:rPr>
        <w:t>inación de la cuantía, así como</w:t>
      </w:r>
      <w:r>
        <w:rPr>
          <w:rFonts w:ascii="Arial" w:eastAsia="SimSun" w:hAnsi="Arial" w:cs="Arial"/>
          <w:kern w:val="3"/>
          <w:lang w:eastAsia="zh-CN" w:bidi="hi-IN"/>
        </w:rPr>
        <w:t xml:space="preserve"> </w:t>
      </w:r>
      <w:r w:rsidR="0075724C" w:rsidRPr="0075724C">
        <w:rPr>
          <w:rFonts w:ascii="Arial" w:eastAsia="SimSun" w:hAnsi="Arial" w:cs="Arial"/>
          <w:kern w:val="3"/>
          <w:lang w:eastAsia="zh-CN" w:bidi="hi-IN"/>
        </w:rPr>
        <w:t>cuestiones muy concretas sobre la gestión de cada subvención</w:t>
      </w:r>
      <w:r w:rsidR="00476EC0">
        <w:rPr>
          <w:rFonts w:ascii="Arial" w:eastAsia="SimSun" w:hAnsi="Arial" w:cs="Arial"/>
          <w:kern w:val="3"/>
          <w:lang w:eastAsia="zh-CN" w:bidi="hi-IN"/>
        </w:rPr>
        <w:t xml:space="preserve">, como </w:t>
      </w:r>
      <w:r w:rsidR="0075724C" w:rsidRPr="0075724C">
        <w:rPr>
          <w:rFonts w:ascii="Arial" w:eastAsia="SimSun" w:hAnsi="Arial" w:cs="Arial"/>
          <w:kern w:val="3"/>
          <w:lang w:eastAsia="zh-CN" w:bidi="hi-IN"/>
        </w:rPr>
        <w:t>re</w:t>
      </w:r>
      <w:r>
        <w:rPr>
          <w:rFonts w:ascii="Arial" w:eastAsia="SimSun" w:hAnsi="Arial" w:cs="Arial"/>
          <w:kern w:val="3"/>
          <w:lang w:eastAsia="zh-CN" w:bidi="hi-IN"/>
        </w:rPr>
        <w:t>integros, sanciones, etc. La l</w:t>
      </w:r>
      <w:r w:rsidR="0075724C" w:rsidRPr="0075724C">
        <w:rPr>
          <w:rFonts w:ascii="Arial" w:eastAsia="SimSun" w:hAnsi="Arial" w:cs="Arial"/>
          <w:kern w:val="3"/>
          <w:lang w:eastAsia="zh-CN" w:bidi="hi-IN"/>
        </w:rPr>
        <w:t>ey hace una mención específica sobre las subvenciones concedidas sin promover la concurrencia (nominativas).</w:t>
      </w:r>
    </w:p>
    <w:p w:rsidR="0075724C" w:rsidRPr="0075724C" w:rsidRDefault="0075724C" w:rsidP="0075724C">
      <w:pPr>
        <w:widowControl w:val="0"/>
        <w:suppressAutoHyphens/>
        <w:autoSpaceDN w:val="0"/>
        <w:spacing w:before="240" w:after="0" w:line="240" w:lineRule="auto"/>
        <w:jc w:val="both"/>
        <w:rPr>
          <w:rFonts w:ascii="Arial" w:eastAsia="SimSun" w:hAnsi="Arial" w:cs="Arial"/>
          <w:kern w:val="3"/>
          <w:lang w:eastAsia="zh-CN" w:bidi="hi-IN"/>
        </w:rPr>
      </w:pPr>
      <w:r w:rsidRPr="0075724C">
        <w:rPr>
          <w:rFonts w:ascii="Arial" w:eastAsia="SimSun" w:hAnsi="Arial" w:cs="Arial"/>
          <w:kern w:val="3"/>
          <w:lang w:eastAsia="zh-CN" w:bidi="hi-IN"/>
        </w:rPr>
        <w:t xml:space="preserve">Hay que tener en cuenta que la Base de Datos del Sistema Nacional de Subvenciones se configura, de acuerdo con la Ley General de Subvenciones, como el sistema nacional de publicidad de subvenciones, a la que todas las administraciones están obligadas a enviar información en los términos establecidos en su normativa. </w:t>
      </w:r>
    </w:p>
    <w:p w:rsidR="0075724C" w:rsidRPr="0075724C" w:rsidRDefault="0075724C" w:rsidP="00134F50">
      <w:pPr>
        <w:numPr>
          <w:ilvl w:val="2"/>
          <w:numId w:val="18"/>
        </w:numPr>
        <w:spacing w:before="480" w:after="100" w:afterAutospacing="1" w:line="360" w:lineRule="auto"/>
        <w:ind w:left="1225" w:hanging="505"/>
        <w:outlineLvl w:val="1"/>
        <w:rPr>
          <w:rFonts w:ascii="Arial" w:eastAsia="SimSun" w:hAnsi="Arial" w:cs="Arial"/>
          <w:b/>
          <w:color w:val="2E74B5"/>
          <w:lang w:val="es-ES_tradnl" w:eastAsia="es-ES_tradnl"/>
        </w:rPr>
      </w:pPr>
      <w:bookmarkStart w:id="70" w:name="_Toc64153828"/>
      <w:bookmarkStart w:id="71" w:name="_Toc98333319"/>
      <w:r w:rsidRPr="0075724C">
        <w:rPr>
          <w:rFonts w:ascii="Arial" w:eastAsia="SimSun" w:hAnsi="Arial" w:cs="Arial"/>
          <w:b/>
          <w:color w:val="2E74B5"/>
          <w:lang w:val="es-ES_tradnl" w:eastAsia="es-ES_tradnl"/>
        </w:rPr>
        <w:t>Información en materia de ordenación del territorio.</w:t>
      </w:r>
      <w:bookmarkEnd w:id="70"/>
      <w:bookmarkEnd w:id="71"/>
    </w:p>
    <w:p w:rsidR="0075724C" w:rsidRPr="0075724C" w:rsidRDefault="0075724C" w:rsidP="0075724C">
      <w:pPr>
        <w:widowControl w:val="0"/>
        <w:suppressAutoHyphens/>
        <w:autoSpaceDN w:val="0"/>
        <w:spacing w:before="240" w:after="0" w:line="240" w:lineRule="auto"/>
        <w:jc w:val="both"/>
        <w:rPr>
          <w:rFonts w:ascii="Arial" w:eastAsia="SimSun" w:hAnsi="Arial" w:cs="Arial"/>
          <w:kern w:val="3"/>
          <w:lang w:eastAsia="zh-CN" w:bidi="hi-IN"/>
        </w:rPr>
      </w:pPr>
      <w:r w:rsidRPr="0075724C">
        <w:rPr>
          <w:rFonts w:ascii="Arial" w:eastAsia="SimSun" w:hAnsi="Arial" w:cs="Arial"/>
          <w:kern w:val="3"/>
          <w:lang w:eastAsia="zh-CN" w:bidi="hi-IN"/>
        </w:rPr>
        <w:t xml:space="preserve">La LTPCM hace referencia a la publicación de los instrumentos de ordenación del territorio, que comprende el marco jurídico general (normas, programas, directrices y planes), que orientan y regulan las actuaciones y procesos de asentamiento sobre el territorio, integrador y coordinador de las políticas públicas con incidencia en el territorio entendido como espacio físico. Esta información se encuentra publicada en la pestaña “Territorio y transparencia”. </w:t>
      </w:r>
    </w:p>
    <w:p w:rsidR="0075724C" w:rsidRPr="0075724C" w:rsidRDefault="0075724C" w:rsidP="0075724C">
      <w:pPr>
        <w:widowControl w:val="0"/>
        <w:suppressAutoHyphens/>
        <w:autoSpaceDN w:val="0"/>
        <w:spacing w:before="240" w:after="0" w:line="240" w:lineRule="auto"/>
        <w:jc w:val="both"/>
        <w:rPr>
          <w:rFonts w:ascii="Arial" w:eastAsia="SimSun" w:hAnsi="Arial" w:cs="Arial"/>
          <w:kern w:val="3"/>
          <w:lang w:eastAsia="zh-CN" w:bidi="hi-IN"/>
        </w:rPr>
      </w:pPr>
      <w:r w:rsidRPr="0075724C">
        <w:rPr>
          <w:rFonts w:ascii="Arial" w:eastAsia="SimSun" w:hAnsi="Arial" w:cs="Arial"/>
          <w:kern w:val="3"/>
          <w:lang w:eastAsia="zh-CN" w:bidi="hi-IN"/>
        </w:rPr>
        <w:t>La información publicada</w:t>
      </w:r>
      <w:r w:rsidR="00E14145">
        <w:rPr>
          <w:rFonts w:ascii="Arial" w:eastAsia="SimSun" w:hAnsi="Arial" w:cs="Arial"/>
          <w:kern w:val="3"/>
          <w:lang w:eastAsia="zh-CN" w:bidi="hi-IN"/>
        </w:rPr>
        <w:t xml:space="preserve"> se ajusta a lo exigido por la l</w:t>
      </w:r>
      <w:r w:rsidRPr="0075724C">
        <w:rPr>
          <w:rFonts w:ascii="Arial" w:eastAsia="SimSun" w:hAnsi="Arial" w:cs="Arial"/>
          <w:kern w:val="3"/>
          <w:lang w:eastAsia="zh-CN" w:bidi="hi-IN"/>
        </w:rPr>
        <w:t>ey y se presenta a través de diversos visores e informaciones georreferenciadas.</w:t>
      </w:r>
    </w:p>
    <w:p w:rsidR="0075724C" w:rsidRPr="0075724C" w:rsidRDefault="0075724C" w:rsidP="0075724C">
      <w:pPr>
        <w:widowControl w:val="0"/>
        <w:suppressAutoHyphens/>
        <w:autoSpaceDN w:val="0"/>
        <w:spacing w:before="240" w:after="0" w:line="240" w:lineRule="auto"/>
        <w:jc w:val="both"/>
        <w:rPr>
          <w:rFonts w:ascii="Arial" w:eastAsia="SimSun" w:hAnsi="Arial" w:cs="Arial"/>
          <w:kern w:val="3"/>
          <w:lang w:eastAsia="zh-CN" w:bidi="hi-IN"/>
        </w:rPr>
      </w:pPr>
      <w:r w:rsidRPr="0075724C">
        <w:rPr>
          <w:rFonts w:ascii="Arial" w:eastAsia="SimSun" w:hAnsi="Arial" w:cs="Arial"/>
          <w:kern w:val="3"/>
          <w:lang w:eastAsia="zh-CN" w:bidi="hi-IN"/>
        </w:rPr>
        <w:t>Habida cuenta de la complejidad técnica de la materia, el reto es hacerla más comprensible para la ciudadanía.</w:t>
      </w:r>
    </w:p>
    <w:p w:rsidR="0075724C" w:rsidRPr="0075724C" w:rsidRDefault="0075724C" w:rsidP="00134F50">
      <w:pPr>
        <w:numPr>
          <w:ilvl w:val="2"/>
          <w:numId w:val="18"/>
        </w:numPr>
        <w:spacing w:before="480" w:after="100" w:afterAutospacing="1" w:line="360" w:lineRule="auto"/>
        <w:ind w:left="1225" w:hanging="505"/>
        <w:outlineLvl w:val="1"/>
        <w:rPr>
          <w:rFonts w:ascii="Arial" w:eastAsia="SimSun" w:hAnsi="Arial" w:cs="Arial"/>
          <w:b/>
          <w:color w:val="2E74B5"/>
          <w:lang w:val="es-ES_tradnl" w:eastAsia="es-ES_tradnl"/>
        </w:rPr>
      </w:pPr>
      <w:bookmarkStart w:id="72" w:name="_Toc64153829"/>
      <w:bookmarkStart w:id="73" w:name="_Toc98333320"/>
      <w:r w:rsidRPr="0075724C">
        <w:rPr>
          <w:rFonts w:ascii="Arial" w:eastAsia="SimSun" w:hAnsi="Arial" w:cs="Arial"/>
          <w:b/>
          <w:color w:val="2E74B5"/>
          <w:lang w:val="es-ES_tradnl" w:eastAsia="es-ES_tradnl"/>
        </w:rPr>
        <w:t>Información estadística.</w:t>
      </w:r>
      <w:bookmarkEnd w:id="72"/>
      <w:bookmarkEnd w:id="73"/>
    </w:p>
    <w:p w:rsidR="0075724C" w:rsidRPr="0075724C" w:rsidRDefault="0075724C" w:rsidP="0075724C">
      <w:pPr>
        <w:widowControl w:val="0"/>
        <w:suppressAutoHyphens/>
        <w:autoSpaceDN w:val="0"/>
        <w:spacing w:before="240" w:after="0" w:line="240" w:lineRule="auto"/>
        <w:jc w:val="both"/>
        <w:rPr>
          <w:rFonts w:ascii="Arial" w:eastAsia="SimSun" w:hAnsi="Arial" w:cs="Arial"/>
          <w:kern w:val="3"/>
          <w:lang w:eastAsia="zh-CN" w:bidi="hi-IN"/>
        </w:rPr>
      </w:pPr>
      <w:r w:rsidRPr="0075724C">
        <w:rPr>
          <w:rFonts w:ascii="Arial" w:eastAsia="SimSun" w:hAnsi="Arial" w:cs="Arial"/>
          <w:kern w:val="3"/>
          <w:lang w:eastAsia="zh-CN" w:bidi="hi-IN"/>
        </w:rPr>
        <w:t>Finalmente, la LTPCM exige la publicación de información estadística necesaria para valorar el grado de cumplimiento y la calidad de los servicios públicos, así como otra información estadística de interés. Esta información se encuentra publicada en la pestaña “Presupuestos, contratos y subvenciones”, en el apartado “Datos estadísticos”.</w:t>
      </w:r>
    </w:p>
    <w:p w:rsidR="0075724C" w:rsidRPr="0075724C" w:rsidRDefault="0075724C" w:rsidP="0075724C">
      <w:pPr>
        <w:spacing w:after="0" w:line="240" w:lineRule="auto"/>
        <w:rPr>
          <w:rFonts w:ascii="Arial" w:eastAsia="SimSun" w:hAnsi="Arial" w:cs="Arial"/>
          <w:kern w:val="3"/>
          <w:sz w:val="20"/>
          <w:szCs w:val="24"/>
          <w:lang w:eastAsia="zh-CN" w:bidi="hi-IN"/>
        </w:rPr>
      </w:pPr>
    </w:p>
    <w:p w:rsidR="00255CDA" w:rsidRDefault="00255CDA">
      <w:pPr>
        <w:rPr>
          <w:rFonts w:ascii="Arial" w:eastAsia="SimSun" w:hAnsi="Arial" w:cs="Arial"/>
          <w:bCs/>
          <w:kern w:val="3"/>
          <w:lang w:eastAsia="zh-CN" w:bidi="hi-IN"/>
        </w:rPr>
      </w:pPr>
      <w:r>
        <w:rPr>
          <w:rFonts w:ascii="Arial" w:eastAsia="SimSun" w:hAnsi="Arial" w:cs="Arial"/>
          <w:bCs/>
          <w:kern w:val="3"/>
          <w:lang w:eastAsia="zh-CN" w:bidi="hi-IN"/>
        </w:rPr>
        <w:br w:type="page"/>
      </w:r>
    </w:p>
    <w:p w:rsidR="00255CDA" w:rsidRDefault="00A730EC" w:rsidP="00255CDA">
      <w:pPr>
        <w:pStyle w:val="Textodeprrafo"/>
        <w:rPr>
          <w:color w:val="231F20"/>
        </w:rPr>
      </w:pPr>
      <w:r>
        <w:rPr>
          <w:noProof/>
          <w:color w:val="231F20"/>
          <w:sz w:val="22"/>
          <w:szCs w:val="22"/>
          <w:lang w:eastAsia="es-ES" w:bidi="ar-SA"/>
        </w:rPr>
        <w:lastRenderedPageBreak/>
        <w:drawing>
          <wp:inline distT="0" distB="0" distL="0" distR="0">
            <wp:extent cx="2811600" cy="1080000"/>
            <wp:effectExtent l="0" t="0" r="0" b="0"/>
            <wp:docPr id="9" name="Imagen 9" descr="C:\Users\ssr62\AppData\Local\Microsoft\Windows\INetCache\Content.Word\cap 3_Mesa de trabaj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sr62\AppData\Local\Microsoft\Windows\INetCache\Content.Word\cap 3_Mesa de trabajo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1600" cy="1080000"/>
                    </a:xfrm>
                    <a:prstGeom prst="rect">
                      <a:avLst/>
                    </a:prstGeom>
                    <a:noFill/>
                    <a:ln>
                      <a:noFill/>
                    </a:ln>
                  </pic:spPr>
                </pic:pic>
              </a:graphicData>
            </a:graphic>
          </wp:inline>
        </w:drawing>
      </w:r>
    </w:p>
    <w:p w:rsidR="00A730EC" w:rsidRDefault="00255CDA" w:rsidP="00A730EC">
      <w:pPr>
        <w:pStyle w:val="Textodeprrafo"/>
        <w:rPr>
          <w:color w:val="231F20"/>
          <w:sz w:val="22"/>
          <w:szCs w:val="22"/>
        </w:rPr>
      </w:pPr>
      <w:r w:rsidRPr="00255CDA">
        <w:rPr>
          <w:color w:val="231F20"/>
          <w:sz w:val="22"/>
          <w:szCs w:val="22"/>
        </w:rPr>
        <w:t>Los datos sobre el derecho de acceso a la información pública en el ámbito de la Administración de la Comunidad de Madrid durante 2022 confirman el incremento de su ejercicio de</w:t>
      </w:r>
      <w:r>
        <w:rPr>
          <w:color w:val="231F20"/>
          <w:sz w:val="22"/>
          <w:szCs w:val="22"/>
        </w:rPr>
        <w:t xml:space="preserve"> años anteriores</w:t>
      </w:r>
      <w:r w:rsidR="00BA368C">
        <w:rPr>
          <w:color w:val="231F20"/>
          <w:sz w:val="22"/>
          <w:szCs w:val="22"/>
        </w:rPr>
        <w:t>.</w:t>
      </w:r>
      <w:r>
        <w:rPr>
          <w:color w:val="231F20"/>
          <w:sz w:val="22"/>
          <w:szCs w:val="22"/>
        </w:rPr>
        <w:t xml:space="preserve"> </w:t>
      </w:r>
      <w:r w:rsidR="00BA368C">
        <w:rPr>
          <w:color w:val="231F20"/>
          <w:sz w:val="22"/>
          <w:szCs w:val="22"/>
        </w:rPr>
        <w:t>A</w:t>
      </w:r>
      <w:r w:rsidRPr="00255CDA">
        <w:rPr>
          <w:color w:val="231F20"/>
          <w:sz w:val="22"/>
          <w:szCs w:val="22"/>
        </w:rPr>
        <w:t>unque la cifra global de solicitudes recibidas y tramitadas desciende respecto a 2021, el condicionante de la pandemia de COVID-19 y cuestiones a</w:t>
      </w:r>
      <w:r w:rsidR="00EE6992">
        <w:rPr>
          <w:color w:val="231F20"/>
          <w:sz w:val="22"/>
          <w:szCs w:val="22"/>
        </w:rPr>
        <w:t xml:space="preserve">sociadas como temas de interés especial </w:t>
      </w:r>
      <w:r w:rsidRPr="00255CDA">
        <w:rPr>
          <w:color w:val="231F20"/>
          <w:sz w:val="22"/>
          <w:szCs w:val="22"/>
        </w:rPr>
        <w:t>en las solicitudes recibidas en 2021 ha desaparecido paulatinamente, por lo que puede considerarse un año de vuelta a la normalidad respecto a las informaciones requeridas, sin incrementos destacables por situaciones excepcionales.</w:t>
      </w:r>
      <w:bookmarkStart w:id="74" w:name="_Toc64153833"/>
      <w:bookmarkStart w:id="75" w:name="_Toc64154157"/>
      <w:bookmarkStart w:id="76" w:name="_Toc64154234"/>
      <w:bookmarkStart w:id="77" w:name="_Toc64243448"/>
      <w:bookmarkStart w:id="78" w:name="_Toc64243628"/>
      <w:bookmarkStart w:id="79" w:name="_Toc64314334"/>
      <w:bookmarkStart w:id="80" w:name="_Toc64314568"/>
      <w:bookmarkStart w:id="81" w:name="_Toc64314657"/>
      <w:bookmarkStart w:id="82" w:name="_Toc64153841"/>
      <w:bookmarkStart w:id="83" w:name="_Toc64314665"/>
      <w:bookmarkEnd w:id="74"/>
      <w:bookmarkEnd w:id="75"/>
      <w:bookmarkEnd w:id="76"/>
      <w:bookmarkEnd w:id="77"/>
      <w:bookmarkEnd w:id="78"/>
      <w:bookmarkEnd w:id="79"/>
      <w:bookmarkEnd w:id="80"/>
      <w:bookmarkEnd w:id="81"/>
    </w:p>
    <w:p w:rsidR="00A730EC" w:rsidRPr="00A730EC" w:rsidRDefault="00A730EC" w:rsidP="00A730EC">
      <w:pPr>
        <w:pStyle w:val="Textodeprrafo"/>
        <w:rPr>
          <w:color w:val="231F20"/>
          <w:sz w:val="22"/>
          <w:szCs w:val="22"/>
        </w:rPr>
      </w:pPr>
    </w:p>
    <w:p w:rsidR="00255CDA" w:rsidRPr="00247964" w:rsidRDefault="00255CDA" w:rsidP="006362E2">
      <w:pPr>
        <w:pStyle w:val="Ttulo2"/>
        <w:numPr>
          <w:ilvl w:val="1"/>
          <w:numId w:val="16"/>
        </w:numPr>
        <w:ind w:left="426" w:hanging="426"/>
        <w:rPr>
          <w:rFonts w:ascii="Arial" w:hAnsi="Arial" w:cs="Arial"/>
          <w:sz w:val="24"/>
          <w:szCs w:val="24"/>
        </w:rPr>
      </w:pPr>
      <w:r w:rsidRPr="00247964">
        <w:rPr>
          <w:rFonts w:ascii="Arial" w:hAnsi="Arial" w:cs="Arial"/>
          <w:sz w:val="24"/>
          <w:szCs w:val="24"/>
        </w:rPr>
        <w:t>Solicitudes de acceso a la información pública.</w:t>
      </w:r>
      <w:bookmarkEnd w:id="82"/>
      <w:bookmarkEnd w:id="83"/>
    </w:p>
    <w:p w:rsidR="00255CDA" w:rsidRPr="00A730EC" w:rsidRDefault="00255CDA" w:rsidP="00255CDA">
      <w:pPr>
        <w:pStyle w:val="Textodeprrafo"/>
        <w:rPr>
          <w:color w:val="231F20"/>
          <w:sz w:val="22"/>
          <w:szCs w:val="22"/>
        </w:rPr>
      </w:pPr>
      <w:r w:rsidRPr="00A730EC">
        <w:rPr>
          <w:color w:val="231F20"/>
          <w:sz w:val="22"/>
          <w:szCs w:val="22"/>
        </w:rPr>
        <w:t>Durante el año 2022 se han tramitado 1</w:t>
      </w:r>
      <w:r w:rsidR="00251FBF">
        <w:rPr>
          <w:color w:val="231F20"/>
          <w:sz w:val="22"/>
          <w:szCs w:val="22"/>
        </w:rPr>
        <w:t>.</w:t>
      </w:r>
      <w:r w:rsidRPr="00A730EC">
        <w:rPr>
          <w:color w:val="231F20"/>
          <w:sz w:val="22"/>
          <w:szCs w:val="22"/>
        </w:rPr>
        <w:t>351 solicitudes de acceso a la información pública. Los siguientes gráficos muestran los datos en comparación con años anteriores y desglosados conforme a diferentes criterios.</w:t>
      </w:r>
    </w:p>
    <w:p w:rsidR="00255CDA" w:rsidRPr="00255CDA" w:rsidRDefault="00255CDA" w:rsidP="00255CDA">
      <w:pPr>
        <w:pStyle w:val="Textodeprrafo"/>
        <w:rPr>
          <w:color w:val="2F5496"/>
        </w:rPr>
      </w:pPr>
    </w:p>
    <w:p w:rsidR="00255CDA" w:rsidRDefault="00255CDA" w:rsidP="00255CDA">
      <w:pPr>
        <w:pStyle w:val="Subttulo"/>
        <w:spacing w:before="0" w:after="240" w:afterAutospacing="0" w:line="20" w:lineRule="atLeast"/>
        <w:rPr>
          <w:rFonts w:cs="Arial"/>
          <w:color w:val="2F5496"/>
        </w:rPr>
      </w:pPr>
      <w:bookmarkStart w:id="84" w:name="_Toc64153842"/>
      <w:bookmarkStart w:id="85" w:name="_Toc64314666"/>
      <w:r w:rsidRPr="00255CDA">
        <w:rPr>
          <w:rFonts w:cs="Arial"/>
          <w:color w:val="2F5496"/>
        </w:rPr>
        <w:t xml:space="preserve">Gráfico </w:t>
      </w:r>
      <w:r w:rsidR="005A57C4">
        <w:rPr>
          <w:rFonts w:cs="Arial"/>
          <w:color w:val="2F5496"/>
        </w:rPr>
        <w:t>3.</w:t>
      </w:r>
      <w:r w:rsidRPr="00255CDA">
        <w:rPr>
          <w:rFonts w:cs="Arial"/>
          <w:color w:val="2F5496"/>
        </w:rPr>
        <w:t>1: Solicitudes de acceso por año durante el periodo 2015-2022</w:t>
      </w:r>
      <w:bookmarkEnd w:id="84"/>
      <w:bookmarkEnd w:id="85"/>
    </w:p>
    <w:p w:rsidR="00255CDA" w:rsidRPr="00255CDA" w:rsidRDefault="001B511B" w:rsidP="001B511B">
      <w:pPr>
        <w:pStyle w:val="Textodeprrafo"/>
        <w:jc w:val="center"/>
        <w:rPr>
          <w:bCs/>
          <w:i/>
          <w:iCs/>
          <w:color w:val="FF0000"/>
        </w:rPr>
      </w:pPr>
      <w:r>
        <w:rPr>
          <w:bCs/>
          <w:i/>
          <w:iCs/>
          <w:noProof/>
          <w:color w:val="FF0000"/>
          <w:lang w:eastAsia="es-ES" w:bidi="ar-SA"/>
        </w:rPr>
        <w:drawing>
          <wp:inline distT="0" distB="0" distL="0" distR="0">
            <wp:extent cx="5112000" cy="2808000"/>
            <wp:effectExtent l="12700" t="12700" r="19050" b="1143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12000" cy="2808000"/>
                    </a:xfrm>
                    <a:prstGeom prst="rect">
                      <a:avLst/>
                    </a:prstGeom>
                    <a:ln>
                      <a:solidFill>
                        <a:schemeClr val="accent1"/>
                      </a:solidFill>
                    </a:ln>
                  </pic:spPr>
                </pic:pic>
              </a:graphicData>
            </a:graphic>
          </wp:inline>
        </w:drawing>
      </w:r>
    </w:p>
    <w:p w:rsidR="00183FFC" w:rsidRDefault="00255CDA" w:rsidP="00183FFC">
      <w:pPr>
        <w:pStyle w:val="Textodeprrafo"/>
        <w:rPr>
          <w:color w:val="231F20"/>
          <w:sz w:val="22"/>
          <w:szCs w:val="22"/>
        </w:rPr>
      </w:pPr>
      <w:r w:rsidRPr="00A730EC">
        <w:rPr>
          <w:color w:val="231F20"/>
          <w:sz w:val="22"/>
          <w:szCs w:val="22"/>
        </w:rPr>
        <w:t>Tras un incremento cercano al 50</w:t>
      </w:r>
      <w:r w:rsidR="00A730EC">
        <w:rPr>
          <w:color w:val="231F20"/>
          <w:sz w:val="22"/>
          <w:szCs w:val="22"/>
        </w:rPr>
        <w:t> </w:t>
      </w:r>
      <w:r w:rsidRPr="00A730EC">
        <w:rPr>
          <w:color w:val="231F20"/>
          <w:sz w:val="22"/>
          <w:szCs w:val="22"/>
        </w:rPr>
        <w:t>% de las solicitudes recibidas en 2021 respecto a 2020, puede confirmarse la excepcionalidad de los datos de los dos años precedentes: la situación de emergencia sanitaria en 2020 y la centralidad de la pandemia como tema de interés en 2021.</w:t>
      </w:r>
    </w:p>
    <w:p w:rsidR="00255CDA" w:rsidRPr="00183FFC" w:rsidRDefault="00255CDA" w:rsidP="00183FFC">
      <w:pPr>
        <w:pStyle w:val="Textodeprrafo"/>
        <w:rPr>
          <w:color w:val="231F20"/>
          <w:sz w:val="22"/>
          <w:szCs w:val="22"/>
        </w:rPr>
      </w:pPr>
      <w:r w:rsidRPr="00A730EC">
        <w:rPr>
          <w:color w:val="231F20"/>
          <w:sz w:val="22"/>
          <w:szCs w:val="22"/>
        </w:rPr>
        <w:t>El año 2022 confirma un incremento lógico en la evolución registrada en años previos: aunque la cifra total de solicitudes recibidas muestra un decrecim</w:t>
      </w:r>
      <w:r w:rsidR="00A730EC">
        <w:rPr>
          <w:color w:val="231F20"/>
          <w:sz w:val="22"/>
          <w:szCs w:val="22"/>
        </w:rPr>
        <w:t>iento del 7,</w:t>
      </w:r>
      <w:r w:rsidRPr="00A730EC">
        <w:rPr>
          <w:color w:val="231F20"/>
          <w:sz w:val="22"/>
          <w:szCs w:val="22"/>
        </w:rPr>
        <w:t>5</w:t>
      </w:r>
      <w:r w:rsidR="00A730EC">
        <w:rPr>
          <w:color w:val="231F20"/>
          <w:sz w:val="22"/>
          <w:szCs w:val="22"/>
        </w:rPr>
        <w:t> </w:t>
      </w:r>
      <w:r w:rsidRPr="00A730EC">
        <w:rPr>
          <w:color w:val="231F20"/>
          <w:sz w:val="22"/>
          <w:szCs w:val="22"/>
        </w:rPr>
        <w:t>% respecto a 2021, si se valoran estos datos sin los condicionantes apuntados puede concluirse que la tendencia positiva, creciente, se mantiene.</w:t>
      </w:r>
    </w:p>
    <w:p w:rsidR="00255CDA" w:rsidRPr="00255CDA" w:rsidRDefault="00255CDA" w:rsidP="00255CDA">
      <w:pPr>
        <w:pStyle w:val="Subttulo"/>
        <w:spacing w:before="0" w:after="240" w:afterAutospacing="0" w:line="20" w:lineRule="atLeast"/>
        <w:rPr>
          <w:rFonts w:cs="Arial"/>
          <w:color w:val="2F5496"/>
        </w:rPr>
      </w:pPr>
      <w:bookmarkStart w:id="86" w:name="_Toc64153843"/>
    </w:p>
    <w:p w:rsidR="00255CDA" w:rsidRPr="00255CDA" w:rsidRDefault="00255CDA" w:rsidP="00255CDA">
      <w:pPr>
        <w:pStyle w:val="Subttulo"/>
        <w:spacing w:before="0" w:after="240" w:afterAutospacing="0" w:line="20" w:lineRule="atLeast"/>
        <w:rPr>
          <w:rFonts w:cs="Arial"/>
          <w:color w:val="2F5496"/>
        </w:rPr>
      </w:pPr>
      <w:bookmarkStart w:id="87" w:name="_Toc64314667"/>
      <w:r w:rsidRPr="00255CDA">
        <w:rPr>
          <w:rFonts w:cs="Arial"/>
          <w:color w:val="2F5496"/>
        </w:rPr>
        <w:lastRenderedPageBreak/>
        <w:t xml:space="preserve">Gráfico </w:t>
      </w:r>
      <w:r w:rsidR="005A57C4">
        <w:rPr>
          <w:rFonts w:cs="Arial"/>
          <w:color w:val="2F5496"/>
        </w:rPr>
        <w:t>3.</w:t>
      </w:r>
      <w:r w:rsidRPr="00255CDA">
        <w:rPr>
          <w:rFonts w:cs="Arial"/>
          <w:color w:val="2F5496"/>
        </w:rPr>
        <w:t>2: Solicitudes de acceso por mes durante el año 2022</w:t>
      </w:r>
      <w:bookmarkEnd w:id="86"/>
      <w:bookmarkEnd w:id="87"/>
    </w:p>
    <w:p w:rsidR="00255CDA" w:rsidRPr="001B511B" w:rsidRDefault="00183FFC" w:rsidP="00183FFC">
      <w:pPr>
        <w:pStyle w:val="Textodeprrafo"/>
        <w:jc w:val="center"/>
        <w:rPr>
          <w:vertAlign w:val="subscript"/>
        </w:rPr>
      </w:pPr>
      <w:r>
        <w:rPr>
          <w:noProof/>
          <w:lang w:eastAsia="es-ES" w:bidi="ar-SA"/>
        </w:rPr>
        <w:drawing>
          <wp:inline distT="0" distB="0" distL="0" distR="0">
            <wp:extent cx="5112000" cy="2876400"/>
            <wp:effectExtent l="12700" t="12700" r="635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12000" cy="2876400"/>
                    </a:xfrm>
                    <a:prstGeom prst="rect">
                      <a:avLst/>
                    </a:prstGeom>
                    <a:ln>
                      <a:solidFill>
                        <a:schemeClr val="accent1"/>
                      </a:solidFill>
                    </a:ln>
                  </pic:spPr>
                </pic:pic>
              </a:graphicData>
            </a:graphic>
          </wp:inline>
        </w:drawing>
      </w:r>
    </w:p>
    <w:p w:rsidR="00255CDA" w:rsidRPr="00A730EC" w:rsidRDefault="00255CDA" w:rsidP="00255CDA">
      <w:pPr>
        <w:pStyle w:val="Textodeprrafo"/>
        <w:rPr>
          <w:color w:val="231F20"/>
          <w:sz w:val="22"/>
          <w:szCs w:val="22"/>
        </w:rPr>
      </w:pPr>
      <w:r w:rsidRPr="00A730EC">
        <w:rPr>
          <w:color w:val="231F20"/>
          <w:sz w:val="22"/>
          <w:szCs w:val="22"/>
        </w:rPr>
        <w:t>La media mensual de solicitudes es cercana a 1</w:t>
      </w:r>
      <w:r w:rsidR="00A730EC">
        <w:rPr>
          <w:color w:val="231F20"/>
          <w:sz w:val="22"/>
          <w:szCs w:val="22"/>
        </w:rPr>
        <w:t>13;</w:t>
      </w:r>
      <w:r w:rsidRPr="00A730EC">
        <w:rPr>
          <w:color w:val="231F20"/>
          <w:sz w:val="22"/>
          <w:szCs w:val="22"/>
        </w:rPr>
        <w:t xml:space="preserve"> respecto a 2021 se han recibido en torno a 9 solicitudes menos por mes.</w:t>
      </w:r>
    </w:p>
    <w:p w:rsidR="00255CDA" w:rsidRDefault="00255CDA" w:rsidP="00255CDA">
      <w:pPr>
        <w:pStyle w:val="Textodeprrafo"/>
        <w:rPr>
          <w:color w:val="231F20"/>
          <w:sz w:val="22"/>
          <w:szCs w:val="22"/>
        </w:rPr>
      </w:pPr>
      <w:r w:rsidRPr="00A730EC">
        <w:rPr>
          <w:color w:val="231F20"/>
          <w:sz w:val="22"/>
          <w:szCs w:val="22"/>
        </w:rPr>
        <w:t>Los periodos de febrero a marzo y de septiembre a noviembre muestran un incremento por encima de la media mensual</w:t>
      </w:r>
      <w:r w:rsidR="00A730EC">
        <w:rPr>
          <w:color w:val="231F20"/>
          <w:sz w:val="22"/>
          <w:szCs w:val="22"/>
        </w:rPr>
        <w:t>,</w:t>
      </w:r>
      <w:r w:rsidRPr="00A730EC">
        <w:rPr>
          <w:color w:val="231F20"/>
          <w:sz w:val="22"/>
          <w:szCs w:val="22"/>
        </w:rPr>
        <w:t xml:space="preserve"> el último periodo apuntado es una pauta habitual ya señalada en informes anteriores.</w:t>
      </w:r>
    </w:p>
    <w:p w:rsidR="00A730EC" w:rsidRDefault="00A730EC" w:rsidP="00255CDA">
      <w:pPr>
        <w:pStyle w:val="Textodeprrafo"/>
        <w:rPr>
          <w:color w:val="231F20"/>
          <w:sz w:val="22"/>
          <w:szCs w:val="22"/>
        </w:rPr>
      </w:pPr>
    </w:p>
    <w:p w:rsidR="00255CDA" w:rsidRPr="00255CDA" w:rsidRDefault="00255CDA" w:rsidP="00255CDA">
      <w:pPr>
        <w:pStyle w:val="Subttulo"/>
        <w:spacing w:before="0" w:after="240" w:afterAutospacing="0" w:line="20" w:lineRule="atLeast"/>
        <w:rPr>
          <w:rFonts w:cs="Arial"/>
          <w:color w:val="2F5496"/>
        </w:rPr>
      </w:pPr>
      <w:bookmarkStart w:id="88" w:name="_Toc64314669"/>
      <w:r w:rsidRPr="00255CDA">
        <w:rPr>
          <w:rFonts w:cs="Arial"/>
          <w:color w:val="2F5496"/>
        </w:rPr>
        <w:t>Gráfic</w:t>
      </w:r>
      <w:r w:rsidR="0014226A">
        <w:rPr>
          <w:rFonts w:cs="Arial"/>
          <w:color w:val="2F5496"/>
        </w:rPr>
        <w:t xml:space="preserve">o </w:t>
      </w:r>
      <w:r w:rsidR="005A57C4">
        <w:rPr>
          <w:rFonts w:cs="Arial"/>
          <w:color w:val="2F5496"/>
        </w:rPr>
        <w:t>3.</w:t>
      </w:r>
      <w:r w:rsidR="0014226A">
        <w:rPr>
          <w:rFonts w:cs="Arial"/>
          <w:color w:val="2F5496"/>
        </w:rPr>
        <w:t>3: Solicitudes de acceso por c</w:t>
      </w:r>
      <w:r w:rsidRPr="00255CDA">
        <w:rPr>
          <w:rFonts w:cs="Arial"/>
          <w:color w:val="2F5496"/>
        </w:rPr>
        <w:t>onsejería titular de la información durante el año 2022</w:t>
      </w:r>
      <w:bookmarkEnd w:id="88"/>
    </w:p>
    <w:p w:rsidR="00255CDA" w:rsidRPr="00255CDA" w:rsidRDefault="00880FCD" w:rsidP="00255CDA">
      <w:pPr>
        <w:pStyle w:val="Textodeprrafo"/>
        <w:jc w:val="center"/>
      </w:pPr>
      <w:r>
        <w:rPr>
          <w:noProof/>
          <w:lang w:eastAsia="es-ES" w:bidi="ar-SA"/>
        </w:rPr>
        <w:drawing>
          <wp:inline distT="0" distB="0" distL="0" distR="0">
            <wp:extent cx="5112000" cy="2840400"/>
            <wp:effectExtent l="12700" t="12700" r="19050" b="171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12000" cy="2840400"/>
                    </a:xfrm>
                    <a:prstGeom prst="rect">
                      <a:avLst/>
                    </a:prstGeom>
                    <a:ln>
                      <a:solidFill>
                        <a:schemeClr val="accent1"/>
                      </a:solidFill>
                    </a:ln>
                  </pic:spPr>
                </pic:pic>
              </a:graphicData>
            </a:graphic>
          </wp:inline>
        </w:drawing>
      </w:r>
    </w:p>
    <w:p w:rsidR="00255CDA" w:rsidRDefault="00255CDA" w:rsidP="00255CDA">
      <w:pPr>
        <w:pStyle w:val="Subttulo"/>
        <w:spacing w:before="0" w:after="240" w:afterAutospacing="0" w:line="20" w:lineRule="atLeast"/>
        <w:rPr>
          <w:rFonts w:cs="Arial"/>
          <w:color w:val="2F5496"/>
        </w:rPr>
      </w:pPr>
      <w:bookmarkStart w:id="89" w:name="_Toc64153847"/>
      <w:bookmarkStart w:id="90" w:name="_Toc64314670"/>
    </w:p>
    <w:p w:rsidR="001B511B" w:rsidRDefault="001B511B" w:rsidP="001B511B">
      <w:pPr>
        <w:rPr>
          <w:lang w:val="es-ES_tradnl" w:eastAsia="es-ES_tradnl"/>
        </w:rPr>
      </w:pPr>
    </w:p>
    <w:p w:rsidR="001B511B" w:rsidRDefault="001B511B" w:rsidP="001B511B">
      <w:pPr>
        <w:rPr>
          <w:lang w:val="es-ES_tradnl" w:eastAsia="es-ES_tradnl"/>
        </w:rPr>
      </w:pPr>
    </w:p>
    <w:p w:rsidR="001B511B" w:rsidRPr="001B511B" w:rsidRDefault="001B511B" w:rsidP="001B511B">
      <w:pPr>
        <w:rPr>
          <w:lang w:val="es-ES_tradnl" w:eastAsia="es-ES_tradnl"/>
        </w:rPr>
      </w:pPr>
    </w:p>
    <w:p w:rsidR="00255CDA" w:rsidRPr="00255CDA" w:rsidRDefault="00255CDA" w:rsidP="00255CDA">
      <w:pPr>
        <w:pStyle w:val="Subttulo"/>
        <w:spacing w:before="0" w:after="240" w:afterAutospacing="0" w:line="20" w:lineRule="atLeast"/>
        <w:rPr>
          <w:rFonts w:cs="Arial"/>
        </w:rPr>
      </w:pPr>
      <w:r w:rsidRPr="00255CDA">
        <w:rPr>
          <w:rFonts w:cs="Arial"/>
          <w:color w:val="2F5496"/>
        </w:rPr>
        <w:lastRenderedPageBreak/>
        <w:t>Gráfic</w:t>
      </w:r>
      <w:r w:rsidR="0014226A">
        <w:rPr>
          <w:rFonts w:cs="Arial"/>
          <w:color w:val="2F5496"/>
        </w:rPr>
        <w:t xml:space="preserve">o </w:t>
      </w:r>
      <w:r w:rsidR="005A57C4">
        <w:rPr>
          <w:rFonts w:cs="Arial"/>
          <w:color w:val="2F5496"/>
        </w:rPr>
        <w:t>3.</w:t>
      </w:r>
      <w:r w:rsidR="0014226A">
        <w:rPr>
          <w:rFonts w:cs="Arial"/>
          <w:color w:val="2F5496"/>
        </w:rPr>
        <w:t>4: Solicitudes de acceso por c</w:t>
      </w:r>
      <w:r w:rsidRPr="00255CDA">
        <w:rPr>
          <w:rFonts w:cs="Arial"/>
          <w:color w:val="2F5496"/>
        </w:rPr>
        <w:t>onsejería durante el periodo 2015-2022</w:t>
      </w:r>
      <w:bookmarkEnd w:id="89"/>
      <w:bookmarkEnd w:id="90"/>
    </w:p>
    <w:p w:rsidR="00255CDA" w:rsidRDefault="00880FCD" w:rsidP="00880FCD">
      <w:pPr>
        <w:pStyle w:val="Textodeprrafo"/>
        <w:jc w:val="center"/>
      </w:pPr>
      <w:r>
        <w:rPr>
          <w:noProof/>
          <w:lang w:eastAsia="es-ES" w:bidi="ar-SA"/>
        </w:rPr>
        <w:drawing>
          <wp:inline distT="0" distB="0" distL="0" distR="0">
            <wp:extent cx="5112000" cy="3067200"/>
            <wp:effectExtent l="12700" t="12700" r="19050" b="190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12000" cy="3067200"/>
                    </a:xfrm>
                    <a:prstGeom prst="rect">
                      <a:avLst/>
                    </a:prstGeom>
                    <a:ln>
                      <a:solidFill>
                        <a:schemeClr val="accent1"/>
                      </a:solidFill>
                    </a:ln>
                  </pic:spPr>
                </pic:pic>
              </a:graphicData>
            </a:graphic>
          </wp:inline>
        </w:drawing>
      </w:r>
    </w:p>
    <w:p w:rsidR="00922E5C" w:rsidRPr="00255CDA" w:rsidRDefault="00922E5C" w:rsidP="00255CDA">
      <w:pPr>
        <w:pStyle w:val="Textodeprrafo"/>
      </w:pPr>
    </w:p>
    <w:p w:rsidR="00255CDA" w:rsidRPr="00A730EC" w:rsidRDefault="00255CDA" w:rsidP="00A730EC">
      <w:pPr>
        <w:pStyle w:val="Subttulo"/>
        <w:spacing w:before="0" w:after="400" w:afterAutospacing="0" w:line="20" w:lineRule="atLeast"/>
        <w:rPr>
          <w:rFonts w:cs="Arial"/>
          <w:color w:val="2F5496"/>
        </w:rPr>
      </w:pPr>
      <w:bookmarkStart w:id="91" w:name="_Toc64153849"/>
      <w:bookmarkStart w:id="92" w:name="_Toc64314671"/>
      <w:r w:rsidRPr="00255CDA">
        <w:rPr>
          <w:rFonts w:cs="Arial"/>
          <w:color w:val="2F5496"/>
        </w:rPr>
        <w:t xml:space="preserve">Gráfico </w:t>
      </w:r>
      <w:r w:rsidR="005A57C4">
        <w:rPr>
          <w:rFonts w:cs="Arial"/>
          <w:color w:val="2F5496"/>
        </w:rPr>
        <w:t>3.</w:t>
      </w:r>
      <w:r w:rsidRPr="00255CDA">
        <w:rPr>
          <w:rFonts w:cs="Arial"/>
          <w:color w:val="2F5496"/>
        </w:rPr>
        <w:t>5: Variación de</w:t>
      </w:r>
      <w:r w:rsidR="0014226A">
        <w:rPr>
          <w:rFonts w:cs="Arial"/>
          <w:color w:val="2F5496"/>
        </w:rPr>
        <w:t xml:space="preserve"> las solicitudes de acceso por c</w:t>
      </w:r>
      <w:r w:rsidRPr="00255CDA">
        <w:rPr>
          <w:rFonts w:cs="Arial"/>
          <w:color w:val="2F5496"/>
        </w:rPr>
        <w:t>onsejería (comparativa 2020-2022)</w:t>
      </w:r>
      <w:bookmarkEnd w:id="91"/>
      <w:bookmarkEnd w:id="92"/>
    </w:p>
    <w:p w:rsidR="00922E5C" w:rsidRPr="00255CDA" w:rsidRDefault="00880FCD" w:rsidP="00880FCD">
      <w:pPr>
        <w:pStyle w:val="Textodeprrafo"/>
        <w:jc w:val="center"/>
      </w:pPr>
      <w:r>
        <w:rPr>
          <w:noProof/>
          <w:lang w:eastAsia="es-ES" w:bidi="ar-SA"/>
        </w:rPr>
        <w:drawing>
          <wp:inline distT="0" distB="0" distL="0" distR="0">
            <wp:extent cx="5112000" cy="3186000"/>
            <wp:effectExtent l="12700" t="12700" r="6350" b="146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12000" cy="3186000"/>
                    </a:xfrm>
                    <a:prstGeom prst="rect">
                      <a:avLst/>
                    </a:prstGeom>
                    <a:ln>
                      <a:solidFill>
                        <a:schemeClr val="accent1"/>
                      </a:solidFill>
                    </a:ln>
                  </pic:spPr>
                </pic:pic>
              </a:graphicData>
            </a:graphic>
          </wp:inline>
        </w:drawing>
      </w:r>
    </w:p>
    <w:p w:rsidR="00922E5C" w:rsidRPr="00880FCD" w:rsidRDefault="00922E5C" w:rsidP="00880FCD">
      <w:pPr>
        <w:pStyle w:val="Textodeprrafo"/>
        <w:rPr>
          <w:sz w:val="22"/>
          <w:szCs w:val="22"/>
        </w:rPr>
      </w:pPr>
      <w:r>
        <w:rPr>
          <w:sz w:val="22"/>
          <w:szCs w:val="22"/>
        </w:rPr>
        <w:t>Salvo las c</w:t>
      </w:r>
      <w:r w:rsidR="00255CDA" w:rsidRPr="00922E5C">
        <w:rPr>
          <w:sz w:val="22"/>
          <w:szCs w:val="22"/>
        </w:rPr>
        <w:t>onsejerías de Educación, Medio Ambiente, Transportes y Familia, t</w:t>
      </w:r>
      <w:r>
        <w:rPr>
          <w:sz w:val="22"/>
          <w:szCs w:val="22"/>
        </w:rPr>
        <w:t xml:space="preserve">odas las </w:t>
      </w:r>
      <w:r w:rsidR="00880FCD">
        <w:rPr>
          <w:sz w:val="22"/>
          <w:szCs w:val="22"/>
        </w:rPr>
        <w:t>demás</w:t>
      </w:r>
      <w:r w:rsidR="00255CDA" w:rsidRPr="00922E5C">
        <w:rPr>
          <w:sz w:val="22"/>
          <w:szCs w:val="22"/>
        </w:rPr>
        <w:t xml:space="preserve"> sufren un leve descenso del número de solicitudes recibidas. En el caso de Economía, Hacienda y Empleo su importante disminución puede achacarse a oscilaciones respecto al interés manifestado por ofertas de empleo público y procedimientos de consolidación de empleo temporal</w:t>
      </w:r>
      <w:bookmarkStart w:id="93" w:name="_Toc64153853"/>
      <w:r w:rsidR="00255CDA" w:rsidRPr="00922E5C">
        <w:rPr>
          <w:sz w:val="22"/>
          <w:szCs w:val="22"/>
        </w:rPr>
        <w:t>, una temática habitual de las</w:t>
      </w:r>
      <w:r>
        <w:rPr>
          <w:sz w:val="22"/>
          <w:szCs w:val="22"/>
        </w:rPr>
        <w:t xml:space="preserve"> solicitudes recibidas en esta c</w:t>
      </w:r>
      <w:r w:rsidR="00255CDA" w:rsidRPr="00922E5C">
        <w:rPr>
          <w:sz w:val="22"/>
          <w:szCs w:val="22"/>
        </w:rPr>
        <w:t>onsejería; y en el caso de Sanidad, aunque su descenso es menor, puede vincularse al menor interés manifestado en las solicitudes respecto a temas relacionados con la pandemia.</w:t>
      </w:r>
      <w:bookmarkStart w:id="94" w:name="_Toc64314672"/>
    </w:p>
    <w:p w:rsidR="00255CDA" w:rsidRPr="00247964" w:rsidRDefault="00255CDA" w:rsidP="006362E2">
      <w:pPr>
        <w:pStyle w:val="Ttulo2"/>
        <w:numPr>
          <w:ilvl w:val="1"/>
          <w:numId w:val="16"/>
        </w:numPr>
        <w:ind w:left="567" w:hanging="567"/>
        <w:jc w:val="both"/>
        <w:rPr>
          <w:rFonts w:ascii="Arial" w:hAnsi="Arial" w:cs="Arial"/>
          <w:sz w:val="24"/>
          <w:szCs w:val="24"/>
        </w:rPr>
      </w:pPr>
      <w:r w:rsidRPr="00247964">
        <w:rPr>
          <w:rFonts w:ascii="Arial" w:hAnsi="Arial" w:cs="Arial"/>
          <w:sz w:val="24"/>
          <w:szCs w:val="24"/>
        </w:rPr>
        <w:lastRenderedPageBreak/>
        <w:t>Resoluciones de los procedimientos de acceso a la información pública.</w:t>
      </w:r>
      <w:bookmarkEnd w:id="93"/>
      <w:bookmarkEnd w:id="94"/>
    </w:p>
    <w:p w:rsidR="00255CDA" w:rsidRPr="00922E5C" w:rsidRDefault="00255CDA" w:rsidP="00255CDA">
      <w:pPr>
        <w:pStyle w:val="Textodeprrafo"/>
        <w:rPr>
          <w:color w:val="231F20"/>
          <w:sz w:val="22"/>
          <w:szCs w:val="22"/>
        </w:rPr>
      </w:pPr>
      <w:r w:rsidRPr="00922E5C">
        <w:rPr>
          <w:color w:val="231F20"/>
          <w:sz w:val="22"/>
          <w:szCs w:val="22"/>
        </w:rPr>
        <w:t xml:space="preserve">Las siguientes tablas y gráficos contienen un análisis de las resoluciones que se han dictado a lo largo del año 2022 en función del tipo de resolución, la </w:t>
      </w:r>
      <w:r w:rsidR="00880FCD">
        <w:rPr>
          <w:color w:val="231F20"/>
          <w:sz w:val="22"/>
          <w:szCs w:val="22"/>
        </w:rPr>
        <w:t>c</w:t>
      </w:r>
      <w:r w:rsidRPr="00922E5C">
        <w:rPr>
          <w:color w:val="231F20"/>
          <w:sz w:val="22"/>
          <w:szCs w:val="22"/>
        </w:rPr>
        <w:t xml:space="preserve">onsejería competente y los plazos de tramitación transcurridos. </w:t>
      </w:r>
    </w:p>
    <w:p w:rsidR="00255CDA" w:rsidRPr="00255CDA" w:rsidRDefault="00255CDA" w:rsidP="00255CDA">
      <w:pPr>
        <w:pStyle w:val="Textodeprrafo"/>
      </w:pPr>
    </w:p>
    <w:p w:rsidR="00255CDA" w:rsidRPr="00255CDA" w:rsidRDefault="00255CDA" w:rsidP="00255CDA">
      <w:pPr>
        <w:pStyle w:val="Subttulo"/>
        <w:spacing w:before="0" w:after="400" w:afterAutospacing="0" w:line="20" w:lineRule="atLeast"/>
        <w:rPr>
          <w:rFonts w:cs="Arial"/>
          <w:color w:val="2F5496"/>
        </w:rPr>
      </w:pPr>
      <w:bookmarkStart w:id="95" w:name="_Toc64153851"/>
      <w:bookmarkStart w:id="96" w:name="_Toc64314673"/>
      <w:r w:rsidRPr="00255CDA">
        <w:rPr>
          <w:rFonts w:cs="Arial"/>
          <w:color w:val="2F5496"/>
        </w:rPr>
        <w:t xml:space="preserve">Tabla </w:t>
      </w:r>
      <w:r w:rsidR="005A57C4">
        <w:rPr>
          <w:rFonts w:cs="Arial"/>
          <w:color w:val="2F5496"/>
        </w:rPr>
        <w:t>3.</w:t>
      </w:r>
      <w:r w:rsidRPr="00255CDA">
        <w:rPr>
          <w:rFonts w:cs="Arial"/>
          <w:color w:val="2F5496"/>
        </w:rPr>
        <w:t>1: Resoluciones a las solicitudes acceso por tipo de respuesta. Año 2022</w:t>
      </w:r>
      <w:bookmarkStart w:id="97" w:name="_Toc64153852"/>
      <w:bookmarkEnd w:id="95"/>
      <w:bookmarkEnd w:id="96"/>
    </w:p>
    <w:tbl>
      <w:tblPr>
        <w:tblW w:w="8789" w:type="dxa"/>
        <w:jc w:val="center"/>
        <w:tblCellMar>
          <w:left w:w="70" w:type="dxa"/>
          <w:right w:w="70" w:type="dxa"/>
        </w:tblCellMar>
        <w:tblLook w:val="04A0" w:firstRow="1" w:lastRow="0" w:firstColumn="1" w:lastColumn="0" w:noHBand="0" w:noVBand="1"/>
      </w:tblPr>
      <w:tblGrid>
        <w:gridCol w:w="5938"/>
        <w:gridCol w:w="1357"/>
        <w:gridCol w:w="1494"/>
      </w:tblGrid>
      <w:tr w:rsidR="00255CDA" w:rsidRPr="00255CDA" w:rsidTr="00251FBF">
        <w:trPr>
          <w:trHeight w:val="300"/>
          <w:jc w:val="center"/>
        </w:trPr>
        <w:tc>
          <w:tcPr>
            <w:tcW w:w="5883" w:type="dxa"/>
            <w:tcBorders>
              <w:top w:val="single" w:sz="4" w:space="0" w:color="auto"/>
              <w:left w:val="single" w:sz="4" w:space="0" w:color="auto"/>
              <w:bottom w:val="single" w:sz="4" w:space="0" w:color="auto"/>
              <w:right w:val="single" w:sz="4" w:space="0" w:color="auto"/>
            </w:tcBorders>
            <w:shd w:val="clear" w:color="auto" w:fill="auto"/>
            <w:noWrap/>
            <w:hideMark/>
          </w:tcPr>
          <w:bookmarkEnd w:id="97"/>
          <w:p w:rsidR="00255CDA" w:rsidRPr="00922E5C" w:rsidRDefault="00255CDA" w:rsidP="00D57F12">
            <w:pPr>
              <w:spacing w:before="80" w:after="80"/>
              <w:rPr>
                <w:rFonts w:ascii="Arial" w:hAnsi="Arial" w:cs="Arial"/>
                <w:b/>
                <w:bCs/>
                <w:color w:val="000000"/>
                <w:lang w:eastAsia="es-ES"/>
              </w:rPr>
            </w:pPr>
            <w:r w:rsidRPr="00922E5C">
              <w:rPr>
                <w:rFonts w:ascii="Arial" w:hAnsi="Arial" w:cs="Arial"/>
                <w:b/>
                <w:bCs/>
                <w:color w:val="000000"/>
                <w:lang w:eastAsia="es-ES"/>
              </w:rPr>
              <w:t>Tipo de resolución</w:t>
            </w:r>
          </w:p>
        </w:tc>
        <w:tc>
          <w:tcPr>
            <w:tcW w:w="1344" w:type="dxa"/>
            <w:tcBorders>
              <w:top w:val="single" w:sz="4" w:space="0" w:color="auto"/>
              <w:left w:val="nil"/>
              <w:bottom w:val="single" w:sz="4" w:space="0" w:color="auto"/>
              <w:right w:val="single" w:sz="4" w:space="0" w:color="auto"/>
            </w:tcBorders>
            <w:shd w:val="clear" w:color="auto" w:fill="auto"/>
            <w:noWrap/>
            <w:hideMark/>
          </w:tcPr>
          <w:p w:rsidR="00255CDA" w:rsidRPr="00922E5C" w:rsidRDefault="00255CDA" w:rsidP="00D57F12">
            <w:pPr>
              <w:spacing w:before="80" w:after="80"/>
              <w:jc w:val="center"/>
              <w:rPr>
                <w:rFonts w:ascii="Arial" w:hAnsi="Arial" w:cs="Arial"/>
                <w:b/>
                <w:bCs/>
                <w:color w:val="000000"/>
                <w:lang w:eastAsia="es-ES"/>
              </w:rPr>
            </w:pPr>
            <w:r w:rsidRPr="00922E5C">
              <w:rPr>
                <w:rFonts w:ascii="Arial" w:hAnsi="Arial" w:cs="Arial"/>
                <w:b/>
                <w:bCs/>
                <w:color w:val="000000"/>
                <w:lang w:eastAsia="es-ES"/>
              </w:rPr>
              <w:t>Número</w:t>
            </w:r>
          </w:p>
        </w:tc>
        <w:tc>
          <w:tcPr>
            <w:tcW w:w="1480" w:type="dxa"/>
            <w:tcBorders>
              <w:top w:val="single" w:sz="4" w:space="0" w:color="auto"/>
              <w:left w:val="nil"/>
              <w:bottom w:val="single" w:sz="4" w:space="0" w:color="auto"/>
              <w:right w:val="single" w:sz="4" w:space="0" w:color="auto"/>
            </w:tcBorders>
            <w:shd w:val="clear" w:color="auto" w:fill="auto"/>
            <w:noWrap/>
            <w:hideMark/>
          </w:tcPr>
          <w:p w:rsidR="00255CDA" w:rsidRPr="00922E5C" w:rsidRDefault="00255CDA" w:rsidP="00D57F12">
            <w:pPr>
              <w:spacing w:before="80" w:after="80"/>
              <w:jc w:val="center"/>
              <w:rPr>
                <w:rFonts w:ascii="Arial" w:hAnsi="Arial" w:cs="Arial"/>
                <w:b/>
                <w:bCs/>
                <w:color w:val="000000"/>
                <w:lang w:eastAsia="es-ES"/>
              </w:rPr>
            </w:pPr>
            <w:r w:rsidRPr="00922E5C">
              <w:rPr>
                <w:rFonts w:ascii="Arial" w:hAnsi="Arial" w:cs="Arial"/>
                <w:b/>
                <w:bCs/>
                <w:color w:val="000000"/>
                <w:lang w:eastAsia="es-ES"/>
              </w:rPr>
              <w:t>%</w:t>
            </w:r>
          </w:p>
        </w:tc>
      </w:tr>
      <w:tr w:rsidR="00922E5C" w:rsidRPr="00251FBF" w:rsidTr="00251FBF">
        <w:trPr>
          <w:trHeight w:val="300"/>
          <w:jc w:val="center"/>
        </w:trPr>
        <w:tc>
          <w:tcPr>
            <w:tcW w:w="5883" w:type="dxa"/>
            <w:tcBorders>
              <w:top w:val="single" w:sz="4" w:space="0" w:color="auto"/>
              <w:left w:val="single" w:sz="4" w:space="0" w:color="auto"/>
              <w:bottom w:val="single" w:sz="4" w:space="0" w:color="auto"/>
              <w:right w:val="single" w:sz="4" w:space="0" w:color="auto"/>
            </w:tcBorders>
            <w:shd w:val="clear" w:color="auto" w:fill="ABE9FF"/>
            <w:noWrap/>
          </w:tcPr>
          <w:p w:rsidR="00922E5C" w:rsidRPr="00255CDA" w:rsidRDefault="00247964" w:rsidP="00D57F12">
            <w:pPr>
              <w:spacing w:before="80" w:after="80"/>
              <w:rPr>
                <w:rFonts w:ascii="Arial" w:hAnsi="Arial" w:cs="Arial"/>
                <w:bCs/>
                <w:sz w:val="20"/>
                <w:szCs w:val="20"/>
                <w:lang w:eastAsia="es-ES"/>
              </w:rPr>
            </w:pPr>
            <w:r>
              <w:rPr>
                <w:rFonts w:ascii="Arial" w:hAnsi="Arial" w:cs="Arial"/>
                <w:bCs/>
                <w:sz w:val="20"/>
                <w:szCs w:val="20"/>
                <w:lang w:eastAsia="es-ES"/>
              </w:rPr>
              <w:t>Reconocimiento</w:t>
            </w:r>
          </w:p>
        </w:tc>
        <w:tc>
          <w:tcPr>
            <w:tcW w:w="1344" w:type="dxa"/>
            <w:tcBorders>
              <w:top w:val="single" w:sz="4" w:space="0" w:color="auto"/>
              <w:left w:val="nil"/>
              <w:bottom w:val="single" w:sz="4" w:space="0" w:color="auto"/>
              <w:right w:val="single" w:sz="4" w:space="0" w:color="auto"/>
            </w:tcBorders>
            <w:shd w:val="clear" w:color="auto" w:fill="ABE9FF"/>
            <w:noWrap/>
          </w:tcPr>
          <w:p w:rsidR="00922E5C" w:rsidRPr="00255CDA" w:rsidRDefault="00922E5C" w:rsidP="00251FBF">
            <w:pPr>
              <w:spacing w:before="80" w:after="80"/>
              <w:jc w:val="center"/>
              <w:rPr>
                <w:rFonts w:ascii="Arial" w:hAnsi="Arial" w:cs="Arial"/>
                <w:bCs/>
                <w:sz w:val="20"/>
                <w:szCs w:val="20"/>
                <w:lang w:eastAsia="es-ES"/>
              </w:rPr>
            </w:pPr>
            <w:r w:rsidRPr="00255CDA">
              <w:rPr>
                <w:rFonts w:ascii="Arial" w:hAnsi="Arial" w:cs="Arial"/>
                <w:bCs/>
                <w:sz w:val="20"/>
                <w:szCs w:val="20"/>
                <w:lang w:eastAsia="es-ES"/>
              </w:rPr>
              <w:t>873</w:t>
            </w:r>
          </w:p>
        </w:tc>
        <w:tc>
          <w:tcPr>
            <w:tcW w:w="1480" w:type="dxa"/>
            <w:tcBorders>
              <w:top w:val="single" w:sz="4" w:space="0" w:color="auto"/>
              <w:left w:val="nil"/>
              <w:bottom w:val="single" w:sz="4" w:space="0" w:color="auto"/>
              <w:right w:val="single" w:sz="4" w:space="0" w:color="auto"/>
            </w:tcBorders>
            <w:shd w:val="clear" w:color="auto" w:fill="ABE9FF"/>
            <w:noWrap/>
          </w:tcPr>
          <w:p w:rsidR="00922E5C" w:rsidRPr="00255CDA" w:rsidRDefault="00922E5C" w:rsidP="00251FBF">
            <w:pPr>
              <w:spacing w:before="80" w:after="80"/>
              <w:jc w:val="center"/>
              <w:rPr>
                <w:rFonts w:ascii="Arial" w:hAnsi="Arial" w:cs="Arial"/>
                <w:bCs/>
                <w:sz w:val="20"/>
                <w:szCs w:val="20"/>
                <w:lang w:eastAsia="es-ES"/>
              </w:rPr>
            </w:pPr>
            <w:r w:rsidRPr="00255CDA">
              <w:rPr>
                <w:rFonts w:ascii="Arial" w:hAnsi="Arial" w:cs="Arial"/>
                <w:bCs/>
                <w:sz w:val="20"/>
                <w:szCs w:val="20"/>
                <w:lang w:eastAsia="es-ES"/>
              </w:rPr>
              <w:t>66,34</w:t>
            </w:r>
          </w:p>
        </w:tc>
      </w:tr>
      <w:tr w:rsidR="00922E5C" w:rsidRPr="00255CDA" w:rsidTr="00251FBF">
        <w:trPr>
          <w:trHeight w:val="300"/>
          <w:jc w:val="center"/>
        </w:trPr>
        <w:tc>
          <w:tcPr>
            <w:tcW w:w="5883" w:type="dxa"/>
            <w:tcBorders>
              <w:top w:val="single" w:sz="4" w:space="0" w:color="auto"/>
              <w:left w:val="single" w:sz="4" w:space="0" w:color="auto"/>
              <w:bottom w:val="single" w:sz="4" w:space="0" w:color="auto"/>
              <w:right w:val="single" w:sz="4" w:space="0" w:color="auto"/>
            </w:tcBorders>
            <w:shd w:val="clear" w:color="auto" w:fill="auto"/>
            <w:noWrap/>
          </w:tcPr>
          <w:p w:rsidR="00922E5C" w:rsidRPr="00255CDA" w:rsidRDefault="00247964" w:rsidP="00D57F12">
            <w:pPr>
              <w:spacing w:before="80" w:after="80"/>
              <w:rPr>
                <w:rFonts w:ascii="Arial" w:hAnsi="Arial" w:cs="Arial"/>
                <w:bCs/>
                <w:sz w:val="20"/>
                <w:szCs w:val="20"/>
                <w:lang w:eastAsia="es-ES"/>
              </w:rPr>
            </w:pPr>
            <w:r>
              <w:rPr>
                <w:rFonts w:ascii="Arial" w:hAnsi="Arial" w:cs="Arial"/>
                <w:bCs/>
                <w:sz w:val="20"/>
                <w:szCs w:val="20"/>
                <w:lang w:eastAsia="es-ES"/>
              </w:rPr>
              <w:t>Reconocimiento parcial</w:t>
            </w:r>
          </w:p>
        </w:tc>
        <w:tc>
          <w:tcPr>
            <w:tcW w:w="1344" w:type="dxa"/>
            <w:tcBorders>
              <w:top w:val="single" w:sz="4" w:space="0" w:color="auto"/>
              <w:left w:val="nil"/>
              <w:bottom w:val="single" w:sz="4" w:space="0" w:color="auto"/>
              <w:right w:val="single" w:sz="4" w:space="0" w:color="auto"/>
            </w:tcBorders>
            <w:shd w:val="clear" w:color="auto" w:fill="auto"/>
            <w:noWrap/>
          </w:tcPr>
          <w:p w:rsidR="00922E5C" w:rsidRPr="00255CDA" w:rsidRDefault="00922E5C" w:rsidP="00251FBF">
            <w:pPr>
              <w:spacing w:before="80" w:after="80"/>
              <w:jc w:val="center"/>
              <w:rPr>
                <w:rFonts w:ascii="Arial" w:hAnsi="Arial" w:cs="Arial"/>
                <w:bCs/>
                <w:sz w:val="20"/>
                <w:szCs w:val="20"/>
                <w:lang w:eastAsia="es-ES"/>
              </w:rPr>
            </w:pPr>
            <w:r w:rsidRPr="00255CDA">
              <w:rPr>
                <w:rFonts w:ascii="Arial" w:hAnsi="Arial" w:cs="Arial"/>
                <w:bCs/>
                <w:sz w:val="20"/>
                <w:szCs w:val="20"/>
                <w:lang w:eastAsia="es-ES"/>
              </w:rPr>
              <w:t>116</w:t>
            </w:r>
          </w:p>
        </w:tc>
        <w:tc>
          <w:tcPr>
            <w:tcW w:w="1480" w:type="dxa"/>
            <w:tcBorders>
              <w:top w:val="single" w:sz="4" w:space="0" w:color="auto"/>
              <w:left w:val="nil"/>
              <w:bottom w:val="single" w:sz="4" w:space="0" w:color="auto"/>
              <w:right w:val="single" w:sz="4" w:space="0" w:color="auto"/>
            </w:tcBorders>
            <w:shd w:val="clear" w:color="auto" w:fill="auto"/>
            <w:noWrap/>
          </w:tcPr>
          <w:p w:rsidR="00922E5C" w:rsidRPr="00255CDA" w:rsidRDefault="00922E5C" w:rsidP="00251FBF">
            <w:pPr>
              <w:spacing w:before="80" w:after="80"/>
              <w:jc w:val="center"/>
              <w:rPr>
                <w:rFonts w:ascii="Arial" w:hAnsi="Arial" w:cs="Arial"/>
                <w:bCs/>
                <w:sz w:val="20"/>
                <w:szCs w:val="20"/>
                <w:lang w:eastAsia="es-ES"/>
              </w:rPr>
            </w:pPr>
            <w:r w:rsidRPr="00255CDA">
              <w:rPr>
                <w:rFonts w:ascii="Arial" w:hAnsi="Arial" w:cs="Arial"/>
                <w:bCs/>
                <w:sz w:val="20"/>
                <w:szCs w:val="20"/>
                <w:lang w:eastAsia="es-ES"/>
              </w:rPr>
              <w:t>8,81</w:t>
            </w:r>
          </w:p>
        </w:tc>
      </w:tr>
      <w:tr w:rsidR="00255CDA" w:rsidRPr="00251FBF" w:rsidTr="00251FBF">
        <w:trPr>
          <w:trHeight w:val="300"/>
          <w:jc w:val="center"/>
        </w:trPr>
        <w:tc>
          <w:tcPr>
            <w:tcW w:w="5883" w:type="dxa"/>
            <w:tcBorders>
              <w:top w:val="single" w:sz="4" w:space="0" w:color="auto"/>
              <w:left w:val="single" w:sz="4" w:space="0" w:color="auto"/>
              <w:bottom w:val="single" w:sz="4" w:space="0" w:color="auto"/>
              <w:right w:val="single" w:sz="4" w:space="0" w:color="auto"/>
            </w:tcBorders>
            <w:shd w:val="clear" w:color="000000" w:fill="ABE9FF"/>
            <w:noWrap/>
            <w:hideMark/>
          </w:tcPr>
          <w:p w:rsidR="00255CDA" w:rsidRPr="00255CDA" w:rsidRDefault="00247964" w:rsidP="00D57F12">
            <w:pPr>
              <w:spacing w:before="80" w:after="80"/>
              <w:rPr>
                <w:rFonts w:ascii="Arial" w:hAnsi="Arial" w:cs="Arial"/>
                <w:bCs/>
                <w:sz w:val="20"/>
                <w:szCs w:val="20"/>
                <w:lang w:eastAsia="es-ES"/>
              </w:rPr>
            </w:pPr>
            <w:r>
              <w:rPr>
                <w:rFonts w:ascii="Arial" w:hAnsi="Arial" w:cs="Arial"/>
                <w:bCs/>
                <w:sz w:val="20"/>
                <w:szCs w:val="20"/>
                <w:lang w:eastAsia="es-ES"/>
              </w:rPr>
              <w:t>Denegación</w:t>
            </w:r>
          </w:p>
        </w:tc>
        <w:tc>
          <w:tcPr>
            <w:tcW w:w="1344" w:type="dxa"/>
            <w:tcBorders>
              <w:top w:val="single" w:sz="4" w:space="0" w:color="auto"/>
              <w:left w:val="nil"/>
              <w:bottom w:val="single" w:sz="4" w:space="0" w:color="auto"/>
              <w:right w:val="single" w:sz="4" w:space="0" w:color="auto"/>
            </w:tcBorders>
            <w:shd w:val="clear" w:color="000000" w:fill="ABE9FF"/>
            <w:noWrap/>
            <w:hideMark/>
          </w:tcPr>
          <w:p w:rsidR="00255CDA" w:rsidRPr="00255CDA" w:rsidRDefault="00255CDA" w:rsidP="00251FBF">
            <w:pPr>
              <w:spacing w:before="80" w:after="80"/>
              <w:jc w:val="center"/>
              <w:rPr>
                <w:rFonts w:ascii="Arial" w:hAnsi="Arial" w:cs="Arial"/>
                <w:bCs/>
                <w:sz w:val="20"/>
                <w:szCs w:val="20"/>
                <w:lang w:eastAsia="es-ES"/>
              </w:rPr>
            </w:pPr>
            <w:r w:rsidRPr="00255CDA">
              <w:rPr>
                <w:rFonts w:ascii="Arial" w:hAnsi="Arial" w:cs="Arial"/>
                <w:bCs/>
                <w:sz w:val="20"/>
                <w:szCs w:val="20"/>
                <w:lang w:eastAsia="es-ES"/>
              </w:rPr>
              <w:t>46</w:t>
            </w:r>
          </w:p>
        </w:tc>
        <w:tc>
          <w:tcPr>
            <w:tcW w:w="1480" w:type="dxa"/>
            <w:tcBorders>
              <w:top w:val="single" w:sz="4" w:space="0" w:color="auto"/>
              <w:left w:val="nil"/>
              <w:bottom w:val="single" w:sz="4" w:space="0" w:color="auto"/>
              <w:right w:val="single" w:sz="4" w:space="0" w:color="auto"/>
            </w:tcBorders>
            <w:shd w:val="clear" w:color="000000" w:fill="ABE9FF"/>
            <w:noWrap/>
            <w:hideMark/>
          </w:tcPr>
          <w:p w:rsidR="00255CDA" w:rsidRPr="00255CDA" w:rsidRDefault="00255CDA" w:rsidP="00251FBF">
            <w:pPr>
              <w:spacing w:before="80" w:after="80"/>
              <w:jc w:val="center"/>
              <w:rPr>
                <w:rFonts w:ascii="Arial" w:hAnsi="Arial" w:cs="Arial"/>
                <w:bCs/>
                <w:sz w:val="20"/>
                <w:szCs w:val="20"/>
                <w:lang w:eastAsia="es-ES"/>
              </w:rPr>
            </w:pPr>
            <w:r w:rsidRPr="00255CDA">
              <w:rPr>
                <w:rFonts w:ascii="Arial" w:hAnsi="Arial" w:cs="Arial"/>
                <w:bCs/>
                <w:sz w:val="20"/>
                <w:szCs w:val="20"/>
                <w:lang w:eastAsia="es-ES"/>
              </w:rPr>
              <w:t>3,50</w:t>
            </w:r>
          </w:p>
        </w:tc>
      </w:tr>
      <w:tr w:rsidR="00255CDA" w:rsidRPr="00255CDA" w:rsidTr="00251FBF">
        <w:trPr>
          <w:trHeight w:val="300"/>
          <w:jc w:val="center"/>
        </w:trPr>
        <w:tc>
          <w:tcPr>
            <w:tcW w:w="5883" w:type="dxa"/>
            <w:tcBorders>
              <w:top w:val="nil"/>
              <w:left w:val="single" w:sz="4" w:space="0" w:color="auto"/>
              <w:bottom w:val="single" w:sz="4" w:space="0" w:color="auto"/>
              <w:right w:val="single" w:sz="4" w:space="0" w:color="auto"/>
            </w:tcBorders>
            <w:shd w:val="clear" w:color="auto" w:fill="auto"/>
            <w:noWrap/>
            <w:hideMark/>
          </w:tcPr>
          <w:p w:rsidR="00255CDA" w:rsidRPr="00255CDA" w:rsidRDefault="00247964" w:rsidP="00D57F12">
            <w:pPr>
              <w:spacing w:before="80" w:after="80"/>
              <w:rPr>
                <w:rFonts w:ascii="Arial" w:hAnsi="Arial" w:cs="Arial"/>
                <w:bCs/>
                <w:sz w:val="20"/>
                <w:szCs w:val="20"/>
                <w:lang w:eastAsia="es-ES"/>
              </w:rPr>
            </w:pPr>
            <w:r>
              <w:rPr>
                <w:rFonts w:ascii="Arial" w:hAnsi="Arial" w:cs="Arial"/>
                <w:bCs/>
                <w:sz w:val="20"/>
                <w:szCs w:val="20"/>
                <w:lang w:eastAsia="es-ES"/>
              </w:rPr>
              <w:t>Denegación</w:t>
            </w:r>
            <w:r w:rsidR="00255CDA" w:rsidRPr="00255CDA">
              <w:rPr>
                <w:rFonts w:ascii="Arial" w:hAnsi="Arial" w:cs="Arial"/>
                <w:bCs/>
                <w:sz w:val="20"/>
                <w:szCs w:val="20"/>
                <w:lang w:eastAsia="es-ES"/>
              </w:rPr>
              <w:t>-</w:t>
            </w:r>
            <w:r>
              <w:rPr>
                <w:rFonts w:ascii="Arial" w:hAnsi="Arial" w:cs="Arial"/>
                <w:bCs/>
                <w:sz w:val="20"/>
                <w:szCs w:val="20"/>
                <w:lang w:eastAsia="es-ES"/>
              </w:rPr>
              <w:t>Inadmisión</w:t>
            </w:r>
          </w:p>
        </w:tc>
        <w:tc>
          <w:tcPr>
            <w:tcW w:w="1344" w:type="dxa"/>
            <w:tcBorders>
              <w:top w:val="nil"/>
              <w:left w:val="nil"/>
              <w:bottom w:val="single" w:sz="4" w:space="0" w:color="auto"/>
              <w:right w:val="single" w:sz="4" w:space="0" w:color="auto"/>
            </w:tcBorders>
            <w:shd w:val="clear" w:color="auto" w:fill="auto"/>
            <w:noWrap/>
            <w:hideMark/>
          </w:tcPr>
          <w:p w:rsidR="00255CDA" w:rsidRPr="00255CDA" w:rsidRDefault="00255CDA" w:rsidP="00D57F12">
            <w:pPr>
              <w:spacing w:before="80" w:after="80"/>
              <w:jc w:val="center"/>
              <w:rPr>
                <w:rFonts w:ascii="Arial" w:hAnsi="Arial" w:cs="Arial"/>
                <w:bCs/>
                <w:sz w:val="20"/>
                <w:szCs w:val="20"/>
                <w:lang w:eastAsia="es-ES"/>
              </w:rPr>
            </w:pPr>
            <w:r w:rsidRPr="00255CDA">
              <w:rPr>
                <w:rFonts w:ascii="Arial" w:hAnsi="Arial" w:cs="Arial"/>
                <w:bCs/>
                <w:sz w:val="20"/>
                <w:szCs w:val="20"/>
                <w:lang w:eastAsia="es-ES"/>
              </w:rPr>
              <w:t>3</w:t>
            </w:r>
          </w:p>
        </w:tc>
        <w:tc>
          <w:tcPr>
            <w:tcW w:w="1480" w:type="dxa"/>
            <w:tcBorders>
              <w:top w:val="nil"/>
              <w:left w:val="nil"/>
              <w:bottom w:val="single" w:sz="4" w:space="0" w:color="auto"/>
              <w:right w:val="single" w:sz="4" w:space="0" w:color="auto"/>
            </w:tcBorders>
            <w:shd w:val="clear" w:color="auto" w:fill="auto"/>
            <w:noWrap/>
            <w:hideMark/>
          </w:tcPr>
          <w:p w:rsidR="00255CDA" w:rsidRPr="00255CDA" w:rsidRDefault="00255CDA" w:rsidP="00D57F12">
            <w:pPr>
              <w:spacing w:before="80" w:after="80"/>
              <w:jc w:val="center"/>
              <w:rPr>
                <w:rFonts w:ascii="Arial" w:hAnsi="Arial" w:cs="Arial"/>
                <w:bCs/>
                <w:sz w:val="20"/>
                <w:szCs w:val="20"/>
                <w:lang w:eastAsia="es-ES"/>
              </w:rPr>
            </w:pPr>
            <w:r w:rsidRPr="00255CDA">
              <w:rPr>
                <w:rFonts w:ascii="Arial" w:hAnsi="Arial" w:cs="Arial"/>
                <w:bCs/>
                <w:sz w:val="20"/>
                <w:szCs w:val="20"/>
                <w:lang w:eastAsia="es-ES"/>
              </w:rPr>
              <w:t>0,23</w:t>
            </w:r>
          </w:p>
        </w:tc>
      </w:tr>
      <w:tr w:rsidR="00255CDA" w:rsidRPr="00255CDA" w:rsidTr="00251FBF">
        <w:trPr>
          <w:trHeight w:val="300"/>
          <w:jc w:val="center"/>
        </w:trPr>
        <w:tc>
          <w:tcPr>
            <w:tcW w:w="5883" w:type="dxa"/>
            <w:tcBorders>
              <w:top w:val="single" w:sz="4" w:space="0" w:color="auto"/>
              <w:left w:val="single" w:sz="4" w:space="0" w:color="auto"/>
              <w:bottom w:val="single" w:sz="4" w:space="0" w:color="auto"/>
              <w:right w:val="single" w:sz="4" w:space="0" w:color="auto"/>
            </w:tcBorders>
            <w:shd w:val="clear" w:color="000000" w:fill="ABE9FF"/>
            <w:noWrap/>
            <w:hideMark/>
          </w:tcPr>
          <w:p w:rsidR="00255CDA" w:rsidRPr="00255CDA" w:rsidRDefault="00247964" w:rsidP="00D57F12">
            <w:pPr>
              <w:spacing w:before="80" w:after="80"/>
              <w:rPr>
                <w:rFonts w:ascii="Arial" w:hAnsi="Arial" w:cs="Arial"/>
                <w:bCs/>
                <w:sz w:val="20"/>
                <w:szCs w:val="20"/>
                <w:lang w:eastAsia="es-ES"/>
              </w:rPr>
            </w:pPr>
            <w:r>
              <w:rPr>
                <w:rFonts w:ascii="Arial" w:hAnsi="Arial" w:cs="Arial"/>
                <w:bCs/>
                <w:sz w:val="20"/>
                <w:szCs w:val="20"/>
                <w:lang w:eastAsia="es-ES"/>
              </w:rPr>
              <w:t>Desestimación por silencio</w:t>
            </w:r>
          </w:p>
        </w:tc>
        <w:tc>
          <w:tcPr>
            <w:tcW w:w="1344" w:type="dxa"/>
            <w:tcBorders>
              <w:top w:val="single" w:sz="4" w:space="0" w:color="auto"/>
              <w:left w:val="nil"/>
              <w:bottom w:val="single" w:sz="4" w:space="0" w:color="auto"/>
              <w:right w:val="single" w:sz="4" w:space="0" w:color="auto"/>
            </w:tcBorders>
            <w:shd w:val="clear" w:color="000000" w:fill="ABE9FF"/>
            <w:noWrap/>
            <w:hideMark/>
          </w:tcPr>
          <w:p w:rsidR="00255CDA" w:rsidRPr="00255CDA" w:rsidRDefault="00255CDA" w:rsidP="00D57F12">
            <w:pPr>
              <w:spacing w:before="80" w:after="80"/>
              <w:jc w:val="center"/>
              <w:rPr>
                <w:rFonts w:ascii="Arial" w:hAnsi="Arial" w:cs="Arial"/>
                <w:bCs/>
                <w:sz w:val="20"/>
                <w:szCs w:val="20"/>
                <w:lang w:eastAsia="es-ES"/>
              </w:rPr>
            </w:pPr>
            <w:r w:rsidRPr="00255CDA">
              <w:rPr>
                <w:rFonts w:ascii="Arial" w:hAnsi="Arial" w:cs="Arial"/>
                <w:bCs/>
                <w:sz w:val="20"/>
                <w:szCs w:val="20"/>
                <w:lang w:eastAsia="es-ES"/>
              </w:rPr>
              <w:t>1</w:t>
            </w:r>
          </w:p>
        </w:tc>
        <w:tc>
          <w:tcPr>
            <w:tcW w:w="1480" w:type="dxa"/>
            <w:tcBorders>
              <w:top w:val="single" w:sz="4" w:space="0" w:color="auto"/>
              <w:left w:val="nil"/>
              <w:bottom w:val="single" w:sz="4" w:space="0" w:color="auto"/>
              <w:right w:val="single" w:sz="4" w:space="0" w:color="auto"/>
            </w:tcBorders>
            <w:shd w:val="clear" w:color="000000" w:fill="ABE9FF"/>
            <w:noWrap/>
            <w:hideMark/>
          </w:tcPr>
          <w:p w:rsidR="00255CDA" w:rsidRPr="00255CDA" w:rsidRDefault="00255CDA" w:rsidP="00D57F12">
            <w:pPr>
              <w:spacing w:before="80" w:after="80"/>
              <w:jc w:val="center"/>
              <w:rPr>
                <w:rFonts w:ascii="Arial" w:hAnsi="Arial" w:cs="Arial"/>
                <w:bCs/>
                <w:sz w:val="20"/>
                <w:szCs w:val="20"/>
                <w:lang w:eastAsia="es-ES"/>
              </w:rPr>
            </w:pPr>
            <w:r w:rsidRPr="00255CDA">
              <w:rPr>
                <w:rFonts w:ascii="Arial" w:hAnsi="Arial" w:cs="Arial"/>
                <w:bCs/>
                <w:sz w:val="20"/>
                <w:szCs w:val="20"/>
                <w:lang w:eastAsia="es-ES"/>
              </w:rPr>
              <w:t>0,08</w:t>
            </w:r>
          </w:p>
        </w:tc>
      </w:tr>
      <w:tr w:rsidR="00255CDA" w:rsidRPr="00255CDA" w:rsidTr="00251FBF">
        <w:trPr>
          <w:trHeight w:val="300"/>
          <w:jc w:val="center"/>
        </w:trPr>
        <w:tc>
          <w:tcPr>
            <w:tcW w:w="5883" w:type="dxa"/>
            <w:tcBorders>
              <w:top w:val="nil"/>
              <w:left w:val="single" w:sz="4" w:space="0" w:color="auto"/>
              <w:bottom w:val="single" w:sz="4" w:space="0" w:color="auto"/>
              <w:right w:val="single" w:sz="4" w:space="0" w:color="auto"/>
            </w:tcBorders>
            <w:shd w:val="clear" w:color="auto" w:fill="auto"/>
            <w:noWrap/>
            <w:hideMark/>
          </w:tcPr>
          <w:p w:rsidR="00255CDA" w:rsidRPr="00255CDA" w:rsidRDefault="00247964" w:rsidP="00D57F12">
            <w:pPr>
              <w:spacing w:before="80" w:after="80"/>
              <w:rPr>
                <w:rFonts w:ascii="Arial" w:hAnsi="Arial" w:cs="Arial"/>
                <w:bCs/>
                <w:sz w:val="20"/>
                <w:szCs w:val="20"/>
                <w:lang w:eastAsia="es-ES"/>
              </w:rPr>
            </w:pPr>
            <w:r>
              <w:rPr>
                <w:rFonts w:ascii="Arial" w:hAnsi="Arial" w:cs="Arial"/>
                <w:bCs/>
                <w:sz w:val="20"/>
                <w:szCs w:val="20"/>
                <w:lang w:eastAsia="es-ES"/>
              </w:rPr>
              <w:t>Desistimiento</w:t>
            </w:r>
          </w:p>
        </w:tc>
        <w:tc>
          <w:tcPr>
            <w:tcW w:w="1344" w:type="dxa"/>
            <w:tcBorders>
              <w:top w:val="nil"/>
              <w:left w:val="nil"/>
              <w:bottom w:val="single" w:sz="4" w:space="0" w:color="auto"/>
              <w:right w:val="single" w:sz="4" w:space="0" w:color="auto"/>
            </w:tcBorders>
            <w:shd w:val="clear" w:color="auto" w:fill="auto"/>
            <w:noWrap/>
            <w:hideMark/>
          </w:tcPr>
          <w:p w:rsidR="00255CDA" w:rsidRPr="00255CDA" w:rsidRDefault="00255CDA" w:rsidP="00D57F12">
            <w:pPr>
              <w:spacing w:before="80" w:after="80"/>
              <w:jc w:val="center"/>
              <w:rPr>
                <w:rFonts w:ascii="Arial" w:hAnsi="Arial" w:cs="Arial"/>
                <w:bCs/>
                <w:sz w:val="20"/>
                <w:szCs w:val="20"/>
                <w:lang w:eastAsia="es-ES"/>
              </w:rPr>
            </w:pPr>
            <w:r w:rsidRPr="00255CDA">
              <w:rPr>
                <w:rFonts w:ascii="Arial" w:hAnsi="Arial" w:cs="Arial"/>
                <w:bCs/>
                <w:sz w:val="20"/>
                <w:szCs w:val="20"/>
                <w:lang w:eastAsia="es-ES"/>
              </w:rPr>
              <w:t>21</w:t>
            </w:r>
          </w:p>
        </w:tc>
        <w:tc>
          <w:tcPr>
            <w:tcW w:w="1480" w:type="dxa"/>
            <w:tcBorders>
              <w:top w:val="nil"/>
              <w:left w:val="nil"/>
              <w:bottom w:val="single" w:sz="4" w:space="0" w:color="auto"/>
              <w:right w:val="single" w:sz="4" w:space="0" w:color="auto"/>
            </w:tcBorders>
            <w:shd w:val="clear" w:color="auto" w:fill="auto"/>
            <w:noWrap/>
            <w:hideMark/>
          </w:tcPr>
          <w:p w:rsidR="00255CDA" w:rsidRPr="00255CDA" w:rsidRDefault="00255CDA" w:rsidP="00D57F12">
            <w:pPr>
              <w:spacing w:before="80" w:after="80"/>
              <w:jc w:val="center"/>
              <w:rPr>
                <w:rFonts w:ascii="Arial" w:hAnsi="Arial" w:cs="Arial"/>
                <w:bCs/>
                <w:sz w:val="20"/>
                <w:szCs w:val="20"/>
                <w:lang w:eastAsia="es-ES"/>
              </w:rPr>
            </w:pPr>
            <w:r w:rsidRPr="00255CDA">
              <w:rPr>
                <w:rFonts w:ascii="Arial" w:hAnsi="Arial" w:cs="Arial"/>
                <w:bCs/>
                <w:sz w:val="20"/>
                <w:szCs w:val="20"/>
                <w:lang w:eastAsia="es-ES"/>
              </w:rPr>
              <w:t>1,60</w:t>
            </w:r>
          </w:p>
        </w:tc>
      </w:tr>
      <w:tr w:rsidR="00255CDA" w:rsidRPr="00255CDA" w:rsidTr="00251FBF">
        <w:trPr>
          <w:trHeight w:val="300"/>
          <w:jc w:val="center"/>
        </w:trPr>
        <w:tc>
          <w:tcPr>
            <w:tcW w:w="5883" w:type="dxa"/>
            <w:tcBorders>
              <w:top w:val="single" w:sz="4" w:space="0" w:color="auto"/>
              <w:left w:val="single" w:sz="4" w:space="0" w:color="auto"/>
              <w:bottom w:val="single" w:sz="4" w:space="0" w:color="auto"/>
              <w:right w:val="single" w:sz="4" w:space="0" w:color="auto"/>
            </w:tcBorders>
            <w:shd w:val="clear" w:color="000000" w:fill="ABE9FF"/>
            <w:noWrap/>
            <w:hideMark/>
          </w:tcPr>
          <w:p w:rsidR="00255CDA" w:rsidRPr="00255CDA" w:rsidRDefault="00247964" w:rsidP="00D57F12">
            <w:pPr>
              <w:spacing w:before="80" w:after="80"/>
              <w:rPr>
                <w:rFonts w:ascii="Arial" w:hAnsi="Arial" w:cs="Arial"/>
                <w:bCs/>
                <w:sz w:val="20"/>
                <w:szCs w:val="20"/>
                <w:lang w:eastAsia="es-ES"/>
              </w:rPr>
            </w:pPr>
            <w:r>
              <w:rPr>
                <w:rFonts w:ascii="Arial" w:hAnsi="Arial" w:cs="Arial"/>
                <w:bCs/>
                <w:sz w:val="20"/>
                <w:szCs w:val="20"/>
                <w:lang w:eastAsia="es-ES"/>
              </w:rPr>
              <w:t>Inadmisión</w:t>
            </w:r>
          </w:p>
        </w:tc>
        <w:tc>
          <w:tcPr>
            <w:tcW w:w="1344" w:type="dxa"/>
            <w:tcBorders>
              <w:top w:val="single" w:sz="4" w:space="0" w:color="auto"/>
              <w:left w:val="nil"/>
              <w:bottom w:val="single" w:sz="4" w:space="0" w:color="auto"/>
              <w:right w:val="single" w:sz="4" w:space="0" w:color="auto"/>
            </w:tcBorders>
            <w:shd w:val="clear" w:color="000000" w:fill="ABE9FF"/>
            <w:noWrap/>
            <w:hideMark/>
          </w:tcPr>
          <w:p w:rsidR="00255CDA" w:rsidRPr="00255CDA" w:rsidRDefault="00255CDA" w:rsidP="00D57F12">
            <w:pPr>
              <w:spacing w:before="80" w:after="80"/>
              <w:jc w:val="center"/>
              <w:rPr>
                <w:rFonts w:ascii="Arial" w:hAnsi="Arial" w:cs="Arial"/>
                <w:bCs/>
                <w:sz w:val="20"/>
                <w:szCs w:val="20"/>
                <w:lang w:eastAsia="es-ES"/>
              </w:rPr>
            </w:pPr>
            <w:r w:rsidRPr="00255CDA">
              <w:rPr>
                <w:rFonts w:ascii="Arial" w:hAnsi="Arial" w:cs="Arial"/>
                <w:bCs/>
                <w:sz w:val="20"/>
                <w:szCs w:val="20"/>
                <w:lang w:eastAsia="es-ES"/>
              </w:rPr>
              <w:t>215</w:t>
            </w:r>
          </w:p>
        </w:tc>
        <w:tc>
          <w:tcPr>
            <w:tcW w:w="1480" w:type="dxa"/>
            <w:tcBorders>
              <w:top w:val="single" w:sz="4" w:space="0" w:color="auto"/>
              <w:left w:val="nil"/>
              <w:bottom w:val="single" w:sz="4" w:space="0" w:color="auto"/>
              <w:right w:val="single" w:sz="4" w:space="0" w:color="auto"/>
            </w:tcBorders>
            <w:shd w:val="clear" w:color="000000" w:fill="ABE9FF"/>
            <w:noWrap/>
            <w:hideMark/>
          </w:tcPr>
          <w:p w:rsidR="00255CDA" w:rsidRPr="00255CDA" w:rsidRDefault="00255CDA" w:rsidP="00D57F12">
            <w:pPr>
              <w:spacing w:before="80" w:after="80"/>
              <w:jc w:val="center"/>
              <w:rPr>
                <w:rFonts w:ascii="Arial" w:hAnsi="Arial" w:cs="Arial"/>
                <w:bCs/>
                <w:sz w:val="20"/>
                <w:szCs w:val="20"/>
                <w:lang w:eastAsia="es-ES"/>
              </w:rPr>
            </w:pPr>
            <w:r w:rsidRPr="00255CDA">
              <w:rPr>
                <w:rFonts w:ascii="Arial" w:hAnsi="Arial" w:cs="Arial"/>
                <w:bCs/>
                <w:sz w:val="20"/>
                <w:szCs w:val="20"/>
                <w:lang w:eastAsia="es-ES"/>
              </w:rPr>
              <w:t>16,34</w:t>
            </w:r>
          </w:p>
        </w:tc>
      </w:tr>
      <w:tr w:rsidR="00255CDA" w:rsidRPr="00255CDA" w:rsidTr="00251FBF">
        <w:trPr>
          <w:trHeight w:val="300"/>
          <w:jc w:val="center"/>
        </w:trPr>
        <w:tc>
          <w:tcPr>
            <w:tcW w:w="5883" w:type="dxa"/>
            <w:tcBorders>
              <w:top w:val="nil"/>
              <w:left w:val="single" w:sz="4" w:space="0" w:color="auto"/>
              <w:bottom w:val="single" w:sz="4" w:space="0" w:color="auto"/>
              <w:right w:val="single" w:sz="4" w:space="0" w:color="auto"/>
            </w:tcBorders>
            <w:shd w:val="clear" w:color="auto" w:fill="auto"/>
            <w:noWrap/>
            <w:hideMark/>
          </w:tcPr>
          <w:p w:rsidR="00255CDA" w:rsidRPr="00255CDA" w:rsidRDefault="00255CDA" w:rsidP="00D57F12">
            <w:pPr>
              <w:spacing w:before="80" w:after="80"/>
              <w:rPr>
                <w:rFonts w:ascii="Arial" w:hAnsi="Arial" w:cs="Arial"/>
                <w:bCs/>
                <w:sz w:val="20"/>
                <w:szCs w:val="20"/>
                <w:lang w:eastAsia="es-ES"/>
              </w:rPr>
            </w:pPr>
            <w:r w:rsidRPr="00255CDA">
              <w:rPr>
                <w:rFonts w:ascii="Arial" w:hAnsi="Arial" w:cs="Arial"/>
                <w:bCs/>
                <w:sz w:val="20"/>
                <w:szCs w:val="20"/>
                <w:lang w:eastAsia="es-ES"/>
              </w:rPr>
              <w:t>Art. 18. 1. a) información que esté en curso de elaboración o de publicación general.</w:t>
            </w:r>
          </w:p>
        </w:tc>
        <w:tc>
          <w:tcPr>
            <w:tcW w:w="1344" w:type="dxa"/>
            <w:tcBorders>
              <w:top w:val="nil"/>
              <w:left w:val="nil"/>
              <w:bottom w:val="single" w:sz="4" w:space="0" w:color="auto"/>
              <w:right w:val="single" w:sz="4" w:space="0" w:color="auto"/>
            </w:tcBorders>
            <w:shd w:val="clear" w:color="auto" w:fill="auto"/>
            <w:noWrap/>
            <w:hideMark/>
          </w:tcPr>
          <w:p w:rsidR="00255CDA" w:rsidRPr="00255CDA" w:rsidRDefault="00255CDA" w:rsidP="00D57F12">
            <w:pPr>
              <w:spacing w:before="80" w:after="80"/>
              <w:jc w:val="center"/>
              <w:rPr>
                <w:rFonts w:ascii="Arial" w:hAnsi="Arial" w:cs="Arial"/>
                <w:bCs/>
                <w:sz w:val="20"/>
                <w:szCs w:val="20"/>
                <w:lang w:eastAsia="es-ES"/>
              </w:rPr>
            </w:pPr>
            <w:r w:rsidRPr="00255CDA">
              <w:rPr>
                <w:rFonts w:ascii="Arial" w:hAnsi="Arial" w:cs="Arial"/>
                <w:bCs/>
                <w:sz w:val="20"/>
                <w:szCs w:val="20"/>
                <w:lang w:eastAsia="es-ES"/>
              </w:rPr>
              <w:t>114</w:t>
            </w:r>
          </w:p>
        </w:tc>
        <w:tc>
          <w:tcPr>
            <w:tcW w:w="1480" w:type="dxa"/>
            <w:tcBorders>
              <w:top w:val="nil"/>
              <w:left w:val="nil"/>
              <w:bottom w:val="single" w:sz="4" w:space="0" w:color="auto"/>
              <w:right w:val="single" w:sz="4" w:space="0" w:color="auto"/>
            </w:tcBorders>
            <w:shd w:val="clear" w:color="auto" w:fill="auto"/>
            <w:noWrap/>
            <w:hideMark/>
          </w:tcPr>
          <w:p w:rsidR="00255CDA" w:rsidRPr="00255CDA" w:rsidRDefault="00255CDA" w:rsidP="00D57F12">
            <w:pPr>
              <w:spacing w:before="80" w:after="80"/>
              <w:jc w:val="center"/>
              <w:rPr>
                <w:rFonts w:ascii="Arial" w:hAnsi="Arial" w:cs="Arial"/>
                <w:bCs/>
                <w:sz w:val="20"/>
                <w:szCs w:val="20"/>
                <w:lang w:eastAsia="es-ES"/>
              </w:rPr>
            </w:pPr>
            <w:r w:rsidRPr="00255CDA">
              <w:rPr>
                <w:rFonts w:ascii="Arial" w:hAnsi="Arial" w:cs="Arial"/>
                <w:bCs/>
                <w:sz w:val="20"/>
                <w:szCs w:val="20"/>
                <w:lang w:eastAsia="es-ES"/>
              </w:rPr>
              <w:t>8,66</w:t>
            </w:r>
          </w:p>
        </w:tc>
      </w:tr>
      <w:tr w:rsidR="00255CDA" w:rsidRPr="00255CDA" w:rsidTr="00251FBF">
        <w:trPr>
          <w:trHeight w:val="300"/>
          <w:jc w:val="center"/>
        </w:trPr>
        <w:tc>
          <w:tcPr>
            <w:tcW w:w="5883" w:type="dxa"/>
            <w:tcBorders>
              <w:top w:val="single" w:sz="4" w:space="0" w:color="auto"/>
              <w:left w:val="single" w:sz="4" w:space="0" w:color="auto"/>
              <w:bottom w:val="single" w:sz="4" w:space="0" w:color="auto"/>
              <w:right w:val="single" w:sz="4" w:space="0" w:color="auto"/>
            </w:tcBorders>
            <w:shd w:val="clear" w:color="000000" w:fill="ABE9FF"/>
            <w:noWrap/>
            <w:hideMark/>
          </w:tcPr>
          <w:p w:rsidR="00255CDA" w:rsidRPr="00255CDA" w:rsidRDefault="00255CDA" w:rsidP="00D57F12">
            <w:pPr>
              <w:spacing w:before="80" w:after="80"/>
              <w:rPr>
                <w:rFonts w:ascii="Arial" w:hAnsi="Arial" w:cs="Arial"/>
                <w:bCs/>
                <w:sz w:val="20"/>
                <w:szCs w:val="20"/>
                <w:lang w:eastAsia="es-ES"/>
              </w:rPr>
            </w:pPr>
            <w:r w:rsidRPr="00255CDA">
              <w:rPr>
                <w:rFonts w:ascii="Arial" w:hAnsi="Arial" w:cs="Arial"/>
                <w:bCs/>
                <w:sz w:val="20"/>
                <w:szCs w:val="20"/>
                <w:lang w:eastAsia="es-ES"/>
              </w:rPr>
              <w:t>Art. 18. 1. b) referidas a información que tenga carácter auxiliar o de apoyo</w:t>
            </w:r>
          </w:p>
        </w:tc>
        <w:tc>
          <w:tcPr>
            <w:tcW w:w="1344" w:type="dxa"/>
            <w:tcBorders>
              <w:top w:val="single" w:sz="4" w:space="0" w:color="auto"/>
              <w:left w:val="nil"/>
              <w:bottom w:val="single" w:sz="4" w:space="0" w:color="auto"/>
              <w:right w:val="single" w:sz="4" w:space="0" w:color="auto"/>
            </w:tcBorders>
            <w:shd w:val="clear" w:color="000000" w:fill="ABE9FF"/>
            <w:noWrap/>
            <w:hideMark/>
          </w:tcPr>
          <w:p w:rsidR="00255CDA" w:rsidRPr="00255CDA" w:rsidRDefault="00255CDA" w:rsidP="00D57F12">
            <w:pPr>
              <w:spacing w:before="80" w:after="80"/>
              <w:jc w:val="center"/>
              <w:rPr>
                <w:rFonts w:ascii="Arial" w:hAnsi="Arial" w:cs="Arial"/>
                <w:bCs/>
                <w:sz w:val="20"/>
                <w:szCs w:val="20"/>
                <w:lang w:eastAsia="es-ES"/>
              </w:rPr>
            </w:pPr>
            <w:r w:rsidRPr="00255CDA">
              <w:rPr>
                <w:rFonts w:ascii="Arial" w:hAnsi="Arial" w:cs="Arial"/>
                <w:bCs/>
                <w:sz w:val="20"/>
                <w:szCs w:val="20"/>
                <w:lang w:eastAsia="es-ES"/>
              </w:rPr>
              <w:t>9</w:t>
            </w:r>
          </w:p>
        </w:tc>
        <w:tc>
          <w:tcPr>
            <w:tcW w:w="1480" w:type="dxa"/>
            <w:tcBorders>
              <w:top w:val="single" w:sz="4" w:space="0" w:color="auto"/>
              <w:left w:val="nil"/>
              <w:bottom w:val="single" w:sz="4" w:space="0" w:color="auto"/>
              <w:right w:val="single" w:sz="4" w:space="0" w:color="auto"/>
            </w:tcBorders>
            <w:shd w:val="clear" w:color="000000" w:fill="ABE9FF"/>
            <w:noWrap/>
            <w:hideMark/>
          </w:tcPr>
          <w:p w:rsidR="00255CDA" w:rsidRPr="00255CDA" w:rsidRDefault="00255CDA" w:rsidP="00D57F12">
            <w:pPr>
              <w:spacing w:before="80" w:after="80"/>
              <w:jc w:val="center"/>
              <w:rPr>
                <w:rFonts w:ascii="Arial" w:hAnsi="Arial" w:cs="Arial"/>
                <w:bCs/>
                <w:sz w:val="20"/>
                <w:szCs w:val="20"/>
                <w:lang w:eastAsia="es-ES"/>
              </w:rPr>
            </w:pPr>
            <w:r w:rsidRPr="00255CDA">
              <w:rPr>
                <w:rFonts w:ascii="Arial" w:hAnsi="Arial" w:cs="Arial"/>
                <w:bCs/>
                <w:sz w:val="20"/>
                <w:szCs w:val="20"/>
                <w:lang w:eastAsia="es-ES"/>
              </w:rPr>
              <w:t>0,68</w:t>
            </w:r>
          </w:p>
        </w:tc>
      </w:tr>
      <w:tr w:rsidR="00255CDA" w:rsidRPr="00255CDA" w:rsidTr="00251FBF">
        <w:trPr>
          <w:trHeight w:val="300"/>
          <w:jc w:val="center"/>
        </w:trPr>
        <w:tc>
          <w:tcPr>
            <w:tcW w:w="5883" w:type="dxa"/>
            <w:tcBorders>
              <w:top w:val="nil"/>
              <w:left w:val="single" w:sz="4" w:space="0" w:color="auto"/>
              <w:bottom w:val="single" w:sz="4" w:space="0" w:color="auto"/>
              <w:right w:val="single" w:sz="4" w:space="0" w:color="auto"/>
            </w:tcBorders>
            <w:shd w:val="clear" w:color="auto" w:fill="auto"/>
            <w:noWrap/>
            <w:hideMark/>
          </w:tcPr>
          <w:p w:rsidR="00255CDA" w:rsidRPr="00255CDA" w:rsidRDefault="00255CDA" w:rsidP="00D57F12">
            <w:pPr>
              <w:spacing w:before="80" w:after="80"/>
              <w:rPr>
                <w:rFonts w:ascii="Arial" w:hAnsi="Arial" w:cs="Arial"/>
                <w:bCs/>
                <w:sz w:val="20"/>
                <w:szCs w:val="20"/>
                <w:lang w:eastAsia="es-ES"/>
              </w:rPr>
            </w:pPr>
            <w:r w:rsidRPr="00255CDA">
              <w:rPr>
                <w:rFonts w:ascii="Arial" w:hAnsi="Arial" w:cs="Arial"/>
                <w:bCs/>
                <w:sz w:val="20"/>
                <w:szCs w:val="20"/>
                <w:lang w:eastAsia="es-ES"/>
              </w:rPr>
              <w:t>Art. 18. 1. c) necesaria una acción previa de reelaboración.</w:t>
            </w:r>
          </w:p>
        </w:tc>
        <w:tc>
          <w:tcPr>
            <w:tcW w:w="1344" w:type="dxa"/>
            <w:tcBorders>
              <w:top w:val="nil"/>
              <w:left w:val="nil"/>
              <w:bottom w:val="single" w:sz="4" w:space="0" w:color="auto"/>
              <w:right w:val="single" w:sz="4" w:space="0" w:color="auto"/>
            </w:tcBorders>
            <w:shd w:val="clear" w:color="auto" w:fill="auto"/>
            <w:noWrap/>
            <w:hideMark/>
          </w:tcPr>
          <w:p w:rsidR="00255CDA" w:rsidRPr="00255CDA" w:rsidRDefault="00255CDA" w:rsidP="00D57F12">
            <w:pPr>
              <w:spacing w:before="80" w:after="80"/>
              <w:jc w:val="center"/>
              <w:rPr>
                <w:rFonts w:ascii="Arial" w:hAnsi="Arial" w:cs="Arial"/>
                <w:bCs/>
                <w:sz w:val="20"/>
                <w:szCs w:val="20"/>
                <w:lang w:eastAsia="es-ES"/>
              </w:rPr>
            </w:pPr>
            <w:r w:rsidRPr="00255CDA">
              <w:rPr>
                <w:rFonts w:ascii="Arial" w:hAnsi="Arial" w:cs="Arial"/>
                <w:bCs/>
                <w:sz w:val="20"/>
                <w:szCs w:val="20"/>
                <w:lang w:eastAsia="es-ES"/>
              </w:rPr>
              <w:t>38</w:t>
            </w:r>
          </w:p>
        </w:tc>
        <w:tc>
          <w:tcPr>
            <w:tcW w:w="1480" w:type="dxa"/>
            <w:tcBorders>
              <w:top w:val="nil"/>
              <w:left w:val="nil"/>
              <w:bottom w:val="single" w:sz="4" w:space="0" w:color="auto"/>
              <w:right w:val="single" w:sz="4" w:space="0" w:color="auto"/>
            </w:tcBorders>
            <w:shd w:val="clear" w:color="auto" w:fill="auto"/>
            <w:noWrap/>
            <w:hideMark/>
          </w:tcPr>
          <w:p w:rsidR="00255CDA" w:rsidRPr="00255CDA" w:rsidRDefault="00255CDA" w:rsidP="00D57F12">
            <w:pPr>
              <w:spacing w:before="80" w:after="80"/>
              <w:jc w:val="center"/>
              <w:rPr>
                <w:rFonts w:ascii="Arial" w:hAnsi="Arial" w:cs="Arial"/>
                <w:bCs/>
                <w:sz w:val="20"/>
                <w:szCs w:val="20"/>
                <w:lang w:eastAsia="es-ES"/>
              </w:rPr>
            </w:pPr>
            <w:r w:rsidRPr="00255CDA">
              <w:rPr>
                <w:rFonts w:ascii="Arial" w:hAnsi="Arial" w:cs="Arial"/>
                <w:bCs/>
                <w:sz w:val="20"/>
                <w:szCs w:val="20"/>
                <w:lang w:eastAsia="es-ES"/>
              </w:rPr>
              <w:t>2,89</w:t>
            </w:r>
          </w:p>
        </w:tc>
      </w:tr>
      <w:tr w:rsidR="00255CDA" w:rsidRPr="00255CDA" w:rsidTr="00251FBF">
        <w:trPr>
          <w:trHeight w:val="300"/>
          <w:jc w:val="center"/>
        </w:trPr>
        <w:tc>
          <w:tcPr>
            <w:tcW w:w="5883" w:type="dxa"/>
            <w:tcBorders>
              <w:top w:val="single" w:sz="4" w:space="0" w:color="auto"/>
              <w:left w:val="single" w:sz="4" w:space="0" w:color="auto"/>
              <w:bottom w:val="single" w:sz="4" w:space="0" w:color="auto"/>
              <w:right w:val="single" w:sz="4" w:space="0" w:color="auto"/>
            </w:tcBorders>
            <w:shd w:val="clear" w:color="000000" w:fill="ABE9FF"/>
            <w:noWrap/>
            <w:hideMark/>
          </w:tcPr>
          <w:p w:rsidR="00255CDA" w:rsidRPr="00255CDA" w:rsidRDefault="00255CDA" w:rsidP="00D57F12">
            <w:pPr>
              <w:spacing w:before="80" w:after="80"/>
              <w:rPr>
                <w:rFonts w:ascii="Arial" w:hAnsi="Arial" w:cs="Arial"/>
                <w:bCs/>
                <w:sz w:val="20"/>
                <w:szCs w:val="20"/>
                <w:lang w:eastAsia="es-ES"/>
              </w:rPr>
            </w:pPr>
            <w:r w:rsidRPr="00255CDA">
              <w:rPr>
                <w:rFonts w:ascii="Arial" w:hAnsi="Arial" w:cs="Arial"/>
                <w:bCs/>
                <w:sz w:val="20"/>
                <w:szCs w:val="20"/>
                <w:lang w:eastAsia="es-ES"/>
              </w:rPr>
              <w:t>Art. 18. 1. d) dirigidas a un órgano en cuyo poder no obre la información cuando se desconozca el competente.</w:t>
            </w:r>
          </w:p>
        </w:tc>
        <w:tc>
          <w:tcPr>
            <w:tcW w:w="1344" w:type="dxa"/>
            <w:tcBorders>
              <w:top w:val="single" w:sz="4" w:space="0" w:color="auto"/>
              <w:left w:val="nil"/>
              <w:bottom w:val="single" w:sz="4" w:space="0" w:color="auto"/>
              <w:right w:val="single" w:sz="4" w:space="0" w:color="auto"/>
            </w:tcBorders>
            <w:shd w:val="clear" w:color="000000" w:fill="ABE9FF"/>
            <w:noWrap/>
            <w:hideMark/>
          </w:tcPr>
          <w:p w:rsidR="00255CDA" w:rsidRPr="00255CDA" w:rsidRDefault="00255CDA" w:rsidP="00D57F12">
            <w:pPr>
              <w:spacing w:before="80" w:after="80"/>
              <w:jc w:val="center"/>
              <w:rPr>
                <w:rFonts w:ascii="Arial" w:hAnsi="Arial" w:cs="Arial"/>
                <w:bCs/>
                <w:sz w:val="20"/>
                <w:szCs w:val="20"/>
                <w:lang w:eastAsia="es-ES"/>
              </w:rPr>
            </w:pPr>
            <w:r w:rsidRPr="00255CDA">
              <w:rPr>
                <w:rFonts w:ascii="Arial" w:hAnsi="Arial" w:cs="Arial"/>
                <w:bCs/>
                <w:sz w:val="20"/>
                <w:szCs w:val="20"/>
                <w:lang w:eastAsia="es-ES"/>
              </w:rPr>
              <w:t>13</w:t>
            </w:r>
          </w:p>
        </w:tc>
        <w:tc>
          <w:tcPr>
            <w:tcW w:w="1480" w:type="dxa"/>
            <w:tcBorders>
              <w:top w:val="single" w:sz="4" w:space="0" w:color="auto"/>
              <w:left w:val="nil"/>
              <w:bottom w:val="single" w:sz="4" w:space="0" w:color="auto"/>
              <w:right w:val="single" w:sz="4" w:space="0" w:color="auto"/>
            </w:tcBorders>
            <w:shd w:val="clear" w:color="000000" w:fill="ABE9FF"/>
            <w:noWrap/>
            <w:hideMark/>
          </w:tcPr>
          <w:p w:rsidR="00255CDA" w:rsidRPr="00255CDA" w:rsidRDefault="00255CDA" w:rsidP="00D57F12">
            <w:pPr>
              <w:spacing w:before="80" w:after="80"/>
              <w:jc w:val="center"/>
              <w:rPr>
                <w:rFonts w:ascii="Arial" w:hAnsi="Arial" w:cs="Arial"/>
                <w:bCs/>
                <w:sz w:val="20"/>
                <w:szCs w:val="20"/>
                <w:lang w:eastAsia="es-ES"/>
              </w:rPr>
            </w:pPr>
            <w:r w:rsidRPr="00255CDA">
              <w:rPr>
                <w:rFonts w:ascii="Arial" w:hAnsi="Arial" w:cs="Arial"/>
                <w:bCs/>
                <w:sz w:val="20"/>
                <w:szCs w:val="20"/>
                <w:lang w:eastAsia="es-ES"/>
              </w:rPr>
              <w:t>0,99</w:t>
            </w:r>
          </w:p>
        </w:tc>
      </w:tr>
      <w:tr w:rsidR="00255CDA" w:rsidRPr="00255CDA" w:rsidTr="00251FBF">
        <w:trPr>
          <w:trHeight w:val="300"/>
          <w:jc w:val="center"/>
        </w:trPr>
        <w:tc>
          <w:tcPr>
            <w:tcW w:w="5883" w:type="dxa"/>
            <w:tcBorders>
              <w:top w:val="nil"/>
              <w:left w:val="single" w:sz="4" w:space="0" w:color="auto"/>
              <w:bottom w:val="single" w:sz="4" w:space="0" w:color="auto"/>
              <w:right w:val="single" w:sz="4" w:space="0" w:color="auto"/>
            </w:tcBorders>
            <w:shd w:val="clear" w:color="auto" w:fill="auto"/>
            <w:noWrap/>
            <w:hideMark/>
          </w:tcPr>
          <w:p w:rsidR="00255CDA" w:rsidRPr="00255CDA" w:rsidRDefault="00255CDA" w:rsidP="00D57F12">
            <w:pPr>
              <w:spacing w:before="80" w:after="80"/>
              <w:rPr>
                <w:rFonts w:ascii="Arial" w:hAnsi="Arial" w:cs="Arial"/>
                <w:bCs/>
                <w:sz w:val="20"/>
                <w:szCs w:val="20"/>
                <w:lang w:eastAsia="es-ES"/>
              </w:rPr>
            </w:pPr>
            <w:r w:rsidRPr="00255CDA">
              <w:rPr>
                <w:rFonts w:ascii="Arial" w:hAnsi="Arial" w:cs="Arial"/>
                <w:bCs/>
                <w:sz w:val="20"/>
                <w:szCs w:val="20"/>
                <w:lang w:eastAsia="es-ES"/>
              </w:rPr>
              <w:t>Art. 18. 1. e) que sean manifiestamente repetitivas o tengan un carácter abusivo</w:t>
            </w:r>
          </w:p>
        </w:tc>
        <w:tc>
          <w:tcPr>
            <w:tcW w:w="1344" w:type="dxa"/>
            <w:tcBorders>
              <w:top w:val="nil"/>
              <w:left w:val="nil"/>
              <w:bottom w:val="single" w:sz="4" w:space="0" w:color="auto"/>
              <w:right w:val="single" w:sz="4" w:space="0" w:color="auto"/>
            </w:tcBorders>
            <w:shd w:val="clear" w:color="auto" w:fill="auto"/>
            <w:noWrap/>
            <w:hideMark/>
          </w:tcPr>
          <w:p w:rsidR="00255CDA" w:rsidRPr="00255CDA" w:rsidRDefault="00255CDA" w:rsidP="00D57F12">
            <w:pPr>
              <w:spacing w:before="80" w:after="80"/>
              <w:jc w:val="center"/>
              <w:rPr>
                <w:rFonts w:ascii="Arial" w:hAnsi="Arial" w:cs="Arial"/>
                <w:bCs/>
                <w:sz w:val="20"/>
                <w:szCs w:val="20"/>
                <w:lang w:eastAsia="es-ES"/>
              </w:rPr>
            </w:pPr>
            <w:r w:rsidRPr="00255CDA">
              <w:rPr>
                <w:rFonts w:ascii="Arial" w:hAnsi="Arial" w:cs="Arial"/>
                <w:bCs/>
                <w:sz w:val="20"/>
                <w:szCs w:val="20"/>
                <w:lang w:eastAsia="es-ES"/>
              </w:rPr>
              <w:t>28</w:t>
            </w:r>
          </w:p>
        </w:tc>
        <w:tc>
          <w:tcPr>
            <w:tcW w:w="1480" w:type="dxa"/>
            <w:tcBorders>
              <w:top w:val="nil"/>
              <w:left w:val="nil"/>
              <w:bottom w:val="single" w:sz="4" w:space="0" w:color="auto"/>
              <w:right w:val="single" w:sz="4" w:space="0" w:color="auto"/>
            </w:tcBorders>
            <w:shd w:val="clear" w:color="auto" w:fill="auto"/>
            <w:noWrap/>
            <w:hideMark/>
          </w:tcPr>
          <w:p w:rsidR="00255CDA" w:rsidRPr="00255CDA" w:rsidRDefault="00255CDA" w:rsidP="00D57F12">
            <w:pPr>
              <w:spacing w:before="80" w:after="80"/>
              <w:jc w:val="center"/>
              <w:rPr>
                <w:rFonts w:ascii="Arial" w:hAnsi="Arial" w:cs="Arial"/>
                <w:bCs/>
                <w:sz w:val="20"/>
                <w:szCs w:val="20"/>
                <w:lang w:eastAsia="es-ES"/>
              </w:rPr>
            </w:pPr>
            <w:r w:rsidRPr="00255CDA">
              <w:rPr>
                <w:rFonts w:ascii="Arial" w:hAnsi="Arial" w:cs="Arial"/>
                <w:bCs/>
                <w:sz w:val="20"/>
                <w:szCs w:val="20"/>
                <w:lang w:eastAsia="es-ES"/>
              </w:rPr>
              <w:t>2,13</w:t>
            </w:r>
          </w:p>
        </w:tc>
      </w:tr>
      <w:tr w:rsidR="00255CDA" w:rsidRPr="00255CDA" w:rsidTr="00251FBF">
        <w:trPr>
          <w:trHeight w:val="300"/>
          <w:jc w:val="center"/>
        </w:trPr>
        <w:tc>
          <w:tcPr>
            <w:tcW w:w="5883" w:type="dxa"/>
            <w:tcBorders>
              <w:top w:val="single" w:sz="4" w:space="0" w:color="auto"/>
              <w:left w:val="single" w:sz="4" w:space="0" w:color="auto"/>
              <w:bottom w:val="single" w:sz="4" w:space="0" w:color="auto"/>
              <w:right w:val="single" w:sz="4" w:space="0" w:color="auto"/>
            </w:tcBorders>
            <w:shd w:val="clear" w:color="000000" w:fill="ABE9FF"/>
            <w:noWrap/>
            <w:hideMark/>
          </w:tcPr>
          <w:p w:rsidR="00255CDA" w:rsidRPr="00255CDA" w:rsidRDefault="00255CDA" w:rsidP="00D57F12">
            <w:pPr>
              <w:spacing w:before="80" w:after="80"/>
              <w:rPr>
                <w:rFonts w:ascii="Arial" w:hAnsi="Arial" w:cs="Arial"/>
                <w:bCs/>
                <w:sz w:val="20"/>
                <w:szCs w:val="20"/>
                <w:lang w:eastAsia="es-ES"/>
              </w:rPr>
            </w:pPr>
            <w:r w:rsidRPr="00255CDA">
              <w:rPr>
                <w:rFonts w:ascii="Arial" w:hAnsi="Arial" w:cs="Arial"/>
                <w:bCs/>
                <w:sz w:val="20"/>
                <w:szCs w:val="20"/>
                <w:lang w:eastAsia="es-ES"/>
              </w:rPr>
              <w:t>Disposición Adicional 1ª.1</w:t>
            </w:r>
          </w:p>
        </w:tc>
        <w:tc>
          <w:tcPr>
            <w:tcW w:w="1344" w:type="dxa"/>
            <w:tcBorders>
              <w:top w:val="single" w:sz="4" w:space="0" w:color="auto"/>
              <w:left w:val="nil"/>
              <w:bottom w:val="single" w:sz="4" w:space="0" w:color="auto"/>
              <w:right w:val="single" w:sz="4" w:space="0" w:color="auto"/>
            </w:tcBorders>
            <w:shd w:val="clear" w:color="000000" w:fill="ABE9FF"/>
            <w:noWrap/>
            <w:hideMark/>
          </w:tcPr>
          <w:p w:rsidR="00255CDA" w:rsidRPr="00255CDA" w:rsidRDefault="00255CDA" w:rsidP="00D57F12">
            <w:pPr>
              <w:spacing w:before="80" w:after="80"/>
              <w:jc w:val="center"/>
              <w:rPr>
                <w:rFonts w:ascii="Arial" w:hAnsi="Arial" w:cs="Arial"/>
                <w:bCs/>
                <w:sz w:val="20"/>
                <w:szCs w:val="20"/>
                <w:lang w:eastAsia="es-ES"/>
              </w:rPr>
            </w:pPr>
            <w:r w:rsidRPr="00255CDA">
              <w:rPr>
                <w:rFonts w:ascii="Arial" w:hAnsi="Arial" w:cs="Arial"/>
                <w:bCs/>
                <w:sz w:val="20"/>
                <w:szCs w:val="20"/>
                <w:lang w:eastAsia="es-ES"/>
              </w:rPr>
              <w:t>10</w:t>
            </w:r>
          </w:p>
        </w:tc>
        <w:tc>
          <w:tcPr>
            <w:tcW w:w="1480" w:type="dxa"/>
            <w:tcBorders>
              <w:top w:val="single" w:sz="4" w:space="0" w:color="auto"/>
              <w:left w:val="nil"/>
              <w:bottom w:val="single" w:sz="4" w:space="0" w:color="auto"/>
              <w:right w:val="single" w:sz="4" w:space="0" w:color="auto"/>
            </w:tcBorders>
            <w:shd w:val="clear" w:color="000000" w:fill="ABE9FF"/>
            <w:noWrap/>
            <w:hideMark/>
          </w:tcPr>
          <w:p w:rsidR="00255CDA" w:rsidRPr="00255CDA" w:rsidRDefault="00255CDA" w:rsidP="00D57F12">
            <w:pPr>
              <w:spacing w:before="80" w:after="80"/>
              <w:jc w:val="center"/>
              <w:rPr>
                <w:rFonts w:ascii="Arial" w:hAnsi="Arial" w:cs="Arial"/>
                <w:bCs/>
                <w:sz w:val="20"/>
                <w:szCs w:val="20"/>
                <w:lang w:eastAsia="es-ES"/>
              </w:rPr>
            </w:pPr>
            <w:r w:rsidRPr="00255CDA">
              <w:rPr>
                <w:rFonts w:ascii="Arial" w:hAnsi="Arial" w:cs="Arial"/>
                <w:bCs/>
                <w:sz w:val="20"/>
                <w:szCs w:val="20"/>
                <w:lang w:eastAsia="es-ES"/>
              </w:rPr>
              <w:t>0,76</w:t>
            </w:r>
          </w:p>
        </w:tc>
      </w:tr>
      <w:tr w:rsidR="00255CDA" w:rsidRPr="00255CDA" w:rsidTr="00251FBF">
        <w:trPr>
          <w:trHeight w:val="300"/>
          <w:jc w:val="center"/>
        </w:trPr>
        <w:tc>
          <w:tcPr>
            <w:tcW w:w="5883" w:type="dxa"/>
            <w:tcBorders>
              <w:top w:val="nil"/>
              <w:left w:val="single" w:sz="4" w:space="0" w:color="auto"/>
              <w:bottom w:val="single" w:sz="4" w:space="0" w:color="auto"/>
              <w:right w:val="single" w:sz="4" w:space="0" w:color="auto"/>
            </w:tcBorders>
            <w:shd w:val="clear" w:color="auto" w:fill="auto"/>
            <w:noWrap/>
            <w:hideMark/>
          </w:tcPr>
          <w:p w:rsidR="00255CDA" w:rsidRPr="00255CDA" w:rsidRDefault="00255CDA" w:rsidP="00D57F12">
            <w:pPr>
              <w:spacing w:before="80" w:after="80"/>
              <w:rPr>
                <w:rFonts w:ascii="Arial" w:hAnsi="Arial" w:cs="Arial"/>
                <w:bCs/>
                <w:sz w:val="20"/>
                <w:szCs w:val="20"/>
                <w:lang w:eastAsia="es-ES"/>
              </w:rPr>
            </w:pPr>
            <w:r w:rsidRPr="00255CDA">
              <w:rPr>
                <w:rFonts w:ascii="Arial" w:hAnsi="Arial" w:cs="Arial"/>
                <w:bCs/>
                <w:sz w:val="20"/>
                <w:szCs w:val="20"/>
                <w:lang w:eastAsia="es-ES"/>
              </w:rPr>
              <w:t>Disposición Adicional 1ª.2</w:t>
            </w:r>
          </w:p>
        </w:tc>
        <w:tc>
          <w:tcPr>
            <w:tcW w:w="1344" w:type="dxa"/>
            <w:tcBorders>
              <w:top w:val="nil"/>
              <w:left w:val="nil"/>
              <w:bottom w:val="single" w:sz="4" w:space="0" w:color="auto"/>
              <w:right w:val="single" w:sz="4" w:space="0" w:color="auto"/>
            </w:tcBorders>
            <w:shd w:val="clear" w:color="auto" w:fill="auto"/>
            <w:noWrap/>
            <w:hideMark/>
          </w:tcPr>
          <w:p w:rsidR="00255CDA" w:rsidRPr="00255CDA" w:rsidRDefault="00255CDA" w:rsidP="00D57F12">
            <w:pPr>
              <w:spacing w:before="80" w:after="80"/>
              <w:jc w:val="center"/>
              <w:rPr>
                <w:rFonts w:ascii="Arial" w:hAnsi="Arial" w:cs="Arial"/>
                <w:bCs/>
                <w:sz w:val="20"/>
                <w:szCs w:val="20"/>
                <w:lang w:eastAsia="es-ES"/>
              </w:rPr>
            </w:pPr>
            <w:r w:rsidRPr="00255CDA">
              <w:rPr>
                <w:rFonts w:ascii="Arial" w:hAnsi="Arial" w:cs="Arial"/>
                <w:bCs/>
                <w:sz w:val="20"/>
                <w:szCs w:val="20"/>
                <w:lang w:eastAsia="es-ES"/>
              </w:rPr>
              <w:t>3</w:t>
            </w:r>
          </w:p>
        </w:tc>
        <w:tc>
          <w:tcPr>
            <w:tcW w:w="1480" w:type="dxa"/>
            <w:tcBorders>
              <w:top w:val="nil"/>
              <w:left w:val="nil"/>
              <w:bottom w:val="single" w:sz="4" w:space="0" w:color="auto"/>
              <w:right w:val="single" w:sz="4" w:space="0" w:color="auto"/>
            </w:tcBorders>
            <w:shd w:val="clear" w:color="auto" w:fill="auto"/>
            <w:noWrap/>
            <w:hideMark/>
          </w:tcPr>
          <w:p w:rsidR="00255CDA" w:rsidRPr="00255CDA" w:rsidRDefault="00255CDA" w:rsidP="00D57F12">
            <w:pPr>
              <w:spacing w:before="80" w:after="80"/>
              <w:jc w:val="center"/>
              <w:rPr>
                <w:rFonts w:ascii="Arial" w:hAnsi="Arial" w:cs="Arial"/>
                <w:bCs/>
                <w:sz w:val="20"/>
                <w:szCs w:val="20"/>
                <w:lang w:eastAsia="es-ES"/>
              </w:rPr>
            </w:pPr>
            <w:r w:rsidRPr="00255CDA">
              <w:rPr>
                <w:rFonts w:ascii="Arial" w:hAnsi="Arial" w:cs="Arial"/>
                <w:bCs/>
                <w:sz w:val="20"/>
                <w:szCs w:val="20"/>
                <w:lang w:eastAsia="es-ES"/>
              </w:rPr>
              <w:t>0,23</w:t>
            </w:r>
          </w:p>
        </w:tc>
      </w:tr>
      <w:tr w:rsidR="00255CDA" w:rsidRPr="00255CDA" w:rsidTr="00251FBF">
        <w:trPr>
          <w:trHeight w:val="300"/>
          <w:jc w:val="center"/>
        </w:trPr>
        <w:tc>
          <w:tcPr>
            <w:tcW w:w="5883" w:type="dxa"/>
            <w:tcBorders>
              <w:top w:val="single" w:sz="4" w:space="0" w:color="auto"/>
              <w:left w:val="single" w:sz="4" w:space="0" w:color="auto"/>
              <w:bottom w:val="single" w:sz="4" w:space="0" w:color="auto"/>
              <w:right w:val="single" w:sz="4" w:space="0" w:color="auto"/>
            </w:tcBorders>
            <w:shd w:val="clear" w:color="000000" w:fill="ABE9FF"/>
            <w:noWrap/>
            <w:hideMark/>
          </w:tcPr>
          <w:p w:rsidR="00255CDA" w:rsidRPr="00255CDA" w:rsidRDefault="00247964" w:rsidP="00D57F12">
            <w:pPr>
              <w:spacing w:before="80" w:after="80"/>
              <w:rPr>
                <w:rFonts w:ascii="Arial" w:hAnsi="Arial" w:cs="Arial"/>
                <w:bCs/>
                <w:sz w:val="20"/>
                <w:szCs w:val="20"/>
                <w:lang w:eastAsia="es-ES"/>
              </w:rPr>
            </w:pPr>
            <w:r>
              <w:rPr>
                <w:rFonts w:ascii="Arial" w:hAnsi="Arial" w:cs="Arial"/>
                <w:bCs/>
                <w:sz w:val="20"/>
                <w:szCs w:val="20"/>
                <w:lang w:eastAsia="es-ES"/>
              </w:rPr>
              <w:t>Traslado a otra AP/Organismo</w:t>
            </w:r>
          </w:p>
        </w:tc>
        <w:tc>
          <w:tcPr>
            <w:tcW w:w="1344" w:type="dxa"/>
            <w:tcBorders>
              <w:top w:val="single" w:sz="4" w:space="0" w:color="auto"/>
              <w:left w:val="nil"/>
              <w:bottom w:val="single" w:sz="4" w:space="0" w:color="auto"/>
              <w:right w:val="single" w:sz="4" w:space="0" w:color="auto"/>
            </w:tcBorders>
            <w:shd w:val="clear" w:color="000000" w:fill="ABE9FF"/>
            <w:noWrap/>
            <w:hideMark/>
          </w:tcPr>
          <w:p w:rsidR="00255CDA" w:rsidRPr="00255CDA" w:rsidRDefault="00255CDA" w:rsidP="00D57F12">
            <w:pPr>
              <w:spacing w:before="80" w:after="80"/>
              <w:jc w:val="center"/>
              <w:rPr>
                <w:rFonts w:ascii="Arial" w:hAnsi="Arial" w:cs="Arial"/>
                <w:bCs/>
                <w:sz w:val="20"/>
                <w:szCs w:val="20"/>
                <w:lang w:eastAsia="es-ES"/>
              </w:rPr>
            </w:pPr>
            <w:r w:rsidRPr="00255CDA">
              <w:rPr>
                <w:rFonts w:ascii="Arial" w:hAnsi="Arial" w:cs="Arial"/>
                <w:bCs/>
                <w:sz w:val="20"/>
                <w:szCs w:val="20"/>
                <w:lang w:eastAsia="es-ES"/>
              </w:rPr>
              <w:t>41</w:t>
            </w:r>
          </w:p>
        </w:tc>
        <w:tc>
          <w:tcPr>
            <w:tcW w:w="1480" w:type="dxa"/>
            <w:tcBorders>
              <w:top w:val="single" w:sz="4" w:space="0" w:color="auto"/>
              <w:left w:val="nil"/>
              <w:bottom w:val="single" w:sz="4" w:space="0" w:color="auto"/>
              <w:right w:val="single" w:sz="4" w:space="0" w:color="auto"/>
            </w:tcBorders>
            <w:shd w:val="clear" w:color="000000" w:fill="ABE9FF"/>
            <w:noWrap/>
            <w:hideMark/>
          </w:tcPr>
          <w:p w:rsidR="00255CDA" w:rsidRPr="00255CDA" w:rsidRDefault="00255CDA" w:rsidP="00D57F12">
            <w:pPr>
              <w:spacing w:before="80" w:after="80"/>
              <w:jc w:val="center"/>
              <w:rPr>
                <w:rFonts w:ascii="Arial" w:hAnsi="Arial" w:cs="Arial"/>
                <w:bCs/>
                <w:sz w:val="20"/>
                <w:szCs w:val="20"/>
                <w:lang w:eastAsia="es-ES"/>
              </w:rPr>
            </w:pPr>
            <w:r w:rsidRPr="00255CDA">
              <w:rPr>
                <w:rFonts w:ascii="Arial" w:hAnsi="Arial" w:cs="Arial"/>
                <w:bCs/>
                <w:sz w:val="20"/>
                <w:szCs w:val="20"/>
                <w:lang w:eastAsia="es-ES"/>
              </w:rPr>
              <w:t>3,12</w:t>
            </w:r>
          </w:p>
        </w:tc>
      </w:tr>
      <w:tr w:rsidR="00255CDA" w:rsidRPr="00255CDA" w:rsidTr="00880FCD">
        <w:trPr>
          <w:trHeight w:val="300"/>
          <w:jc w:val="center"/>
        </w:trPr>
        <w:tc>
          <w:tcPr>
            <w:tcW w:w="5883" w:type="dxa"/>
            <w:tcBorders>
              <w:top w:val="nil"/>
              <w:left w:val="single" w:sz="4" w:space="0" w:color="auto"/>
              <w:bottom w:val="single" w:sz="4" w:space="0" w:color="auto"/>
              <w:right w:val="single" w:sz="4" w:space="0" w:color="auto"/>
            </w:tcBorders>
            <w:shd w:val="clear" w:color="auto" w:fill="auto"/>
            <w:noWrap/>
            <w:hideMark/>
          </w:tcPr>
          <w:p w:rsidR="00255CDA" w:rsidRPr="00247964" w:rsidRDefault="00255CDA" w:rsidP="00D57F12">
            <w:pPr>
              <w:spacing w:before="80" w:after="80"/>
              <w:rPr>
                <w:rFonts w:ascii="Arial" w:hAnsi="Arial" w:cs="Arial"/>
                <w:b/>
                <w:bCs/>
                <w:sz w:val="20"/>
                <w:szCs w:val="20"/>
                <w:lang w:eastAsia="es-ES"/>
              </w:rPr>
            </w:pPr>
            <w:r w:rsidRPr="00247964">
              <w:rPr>
                <w:rFonts w:ascii="Arial" w:hAnsi="Arial" w:cs="Arial"/>
                <w:b/>
                <w:bCs/>
                <w:sz w:val="20"/>
                <w:szCs w:val="20"/>
                <w:lang w:eastAsia="es-ES"/>
              </w:rPr>
              <w:t>Total</w:t>
            </w:r>
          </w:p>
        </w:tc>
        <w:tc>
          <w:tcPr>
            <w:tcW w:w="1344" w:type="dxa"/>
            <w:tcBorders>
              <w:top w:val="nil"/>
              <w:left w:val="nil"/>
              <w:bottom w:val="single" w:sz="4" w:space="0" w:color="auto"/>
              <w:right w:val="single" w:sz="4" w:space="0" w:color="auto"/>
            </w:tcBorders>
            <w:shd w:val="clear" w:color="auto" w:fill="auto"/>
            <w:noWrap/>
            <w:hideMark/>
          </w:tcPr>
          <w:p w:rsidR="00255CDA" w:rsidRPr="00247964" w:rsidRDefault="00255CDA" w:rsidP="00D57F12">
            <w:pPr>
              <w:spacing w:before="80" w:after="80"/>
              <w:jc w:val="center"/>
              <w:rPr>
                <w:rFonts w:ascii="Arial" w:hAnsi="Arial" w:cs="Arial"/>
                <w:b/>
                <w:bCs/>
                <w:sz w:val="20"/>
                <w:szCs w:val="20"/>
                <w:lang w:eastAsia="es-ES"/>
              </w:rPr>
            </w:pPr>
            <w:r w:rsidRPr="00247964">
              <w:rPr>
                <w:rFonts w:ascii="Arial" w:hAnsi="Arial" w:cs="Arial"/>
                <w:b/>
                <w:bCs/>
                <w:sz w:val="20"/>
                <w:szCs w:val="20"/>
                <w:lang w:eastAsia="es-ES"/>
              </w:rPr>
              <w:t>1316</w:t>
            </w:r>
          </w:p>
        </w:tc>
        <w:tc>
          <w:tcPr>
            <w:tcW w:w="1480" w:type="dxa"/>
            <w:tcBorders>
              <w:top w:val="nil"/>
              <w:left w:val="nil"/>
              <w:bottom w:val="single" w:sz="4" w:space="0" w:color="auto"/>
              <w:right w:val="single" w:sz="4" w:space="0" w:color="auto"/>
            </w:tcBorders>
            <w:shd w:val="clear" w:color="auto" w:fill="auto"/>
            <w:noWrap/>
            <w:hideMark/>
          </w:tcPr>
          <w:p w:rsidR="00255CDA" w:rsidRPr="00255CDA" w:rsidRDefault="00255CDA" w:rsidP="00D57F12">
            <w:pPr>
              <w:spacing w:before="80" w:after="80"/>
              <w:jc w:val="center"/>
              <w:rPr>
                <w:rFonts w:ascii="Arial" w:hAnsi="Arial" w:cs="Arial"/>
                <w:bCs/>
                <w:color w:val="000000"/>
                <w:lang w:eastAsia="es-ES"/>
              </w:rPr>
            </w:pPr>
            <w:r w:rsidRPr="00255CDA">
              <w:rPr>
                <w:rFonts w:ascii="Arial" w:hAnsi="Arial" w:cs="Arial"/>
                <w:bCs/>
                <w:color w:val="000000"/>
                <w:lang w:eastAsia="es-ES"/>
              </w:rPr>
              <w:t> </w:t>
            </w:r>
          </w:p>
        </w:tc>
      </w:tr>
    </w:tbl>
    <w:p w:rsidR="00255CDA" w:rsidRPr="00922E5C" w:rsidRDefault="00255CDA" w:rsidP="00255CDA">
      <w:pPr>
        <w:pStyle w:val="Textodeprrafo"/>
        <w:rPr>
          <w:color w:val="231F20"/>
          <w:sz w:val="22"/>
          <w:szCs w:val="22"/>
        </w:rPr>
      </w:pPr>
      <w:r w:rsidRPr="00922E5C">
        <w:rPr>
          <w:color w:val="231F20"/>
          <w:sz w:val="22"/>
          <w:szCs w:val="22"/>
        </w:rPr>
        <w:t xml:space="preserve">Los porcentajes son casi idénticos a los de 2021 en todos los conceptos, con leves variaciones en las inadmisiones justificadas en las distintas causas de inadmisión previstas en el artículo 18 de la Ley 19/2013, de </w:t>
      </w:r>
      <w:r w:rsidR="00EE6992">
        <w:rPr>
          <w:color w:val="231F20"/>
          <w:sz w:val="22"/>
          <w:szCs w:val="22"/>
        </w:rPr>
        <w:t>9 de diciembre, de t</w:t>
      </w:r>
      <w:r w:rsidRPr="00922E5C">
        <w:rPr>
          <w:color w:val="231F20"/>
          <w:sz w:val="22"/>
          <w:szCs w:val="22"/>
        </w:rPr>
        <w:t>ransparencia, acceso a la información pública y buen gobierno al que se remite la LTPCM. Disminuyen las inadmisiones por la causa prevista en el artículo 18.1.a) (información en curso de elaboración o publicación) y en el artículo 18.1.e) (solicitudes repetitivas o abusivas), y se percibe un pequeño incremento de inadmisiones por la causa del artículo 18.1.c) (reelaboración). También puede destacarse el aumento de los reconocimientos parciales respecto al total.</w:t>
      </w:r>
    </w:p>
    <w:p w:rsidR="00255CDA" w:rsidRPr="00922E5C" w:rsidRDefault="00255CDA" w:rsidP="00255CDA">
      <w:pPr>
        <w:pStyle w:val="Textodeprrafo"/>
        <w:rPr>
          <w:color w:val="231F20"/>
          <w:sz w:val="22"/>
          <w:szCs w:val="22"/>
        </w:rPr>
      </w:pPr>
      <w:r w:rsidRPr="00922E5C">
        <w:rPr>
          <w:color w:val="231F20"/>
          <w:sz w:val="22"/>
          <w:szCs w:val="22"/>
        </w:rPr>
        <w:t>El porcentaje de reconocimientos, totales o parciales, es de un 75</w:t>
      </w:r>
      <w:r w:rsidR="00247964">
        <w:rPr>
          <w:color w:val="231F20"/>
          <w:sz w:val="22"/>
          <w:szCs w:val="22"/>
        </w:rPr>
        <w:t> </w:t>
      </w:r>
      <w:r w:rsidRPr="00922E5C">
        <w:rPr>
          <w:color w:val="231F20"/>
          <w:sz w:val="22"/>
          <w:szCs w:val="22"/>
        </w:rPr>
        <w:t>%, manteniendo los valores de 2021 con un ligero incremento.</w:t>
      </w:r>
    </w:p>
    <w:p w:rsidR="00255CDA" w:rsidRPr="00922E5C" w:rsidRDefault="00255CDA" w:rsidP="00255CDA">
      <w:pPr>
        <w:pStyle w:val="Textodeprrafo"/>
        <w:rPr>
          <w:color w:val="231F20"/>
          <w:sz w:val="22"/>
          <w:szCs w:val="22"/>
        </w:rPr>
      </w:pPr>
      <w:r w:rsidRPr="00922E5C">
        <w:rPr>
          <w:color w:val="231F20"/>
          <w:sz w:val="22"/>
          <w:szCs w:val="22"/>
        </w:rPr>
        <w:lastRenderedPageBreak/>
        <w:t xml:space="preserve">El siguiente gráfico muestra los plazos de resolución de las solicitudes tramitadas a lo largo de 2022, incluyendo las resueltas fuera del periodo de ampliación de plazo reconocido en la LTPCM. </w:t>
      </w:r>
    </w:p>
    <w:p w:rsidR="00255CDA" w:rsidRPr="00255CDA" w:rsidRDefault="00255CDA" w:rsidP="00255CDA">
      <w:pPr>
        <w:pStyle w:val="Subttulo"/>
        <w:spacing w:before="0" w:after="400" w:afterAutospacing="0" w:line="20" w:lineRule="atLeast"/>
        <w:jc w:val="left"/>
        <w:rPr>
          <w:rFonts w:cs="Arial"/>
          <w:color w:val="2F5496"/>
        </w:rPr>
      </w:pPr>
      <w:bookmarkStart w:id="98" w:name="_Toc64153854"/>
    </w:p>
    <w:p w:rsidR="00255CDA" w:rsidRPr="00255CDA" w:rsidRDefault="00255CDA" w:rsidP="00255CDA">
      <w:pPr>
        <w:pStyle w:val="Subttulo"/>
        <w:spacing w:before="0" w:after="400" w:afterAutospacing="0" w:line="20" w:lineRule="atLeast"/>
        <w:rPr>
          <w:rFonts w:cs="Arial"/>
          <w:color w:val="2F5496"/>
        </w:rPr>
      </w:pPr>
      <w:bookmarkStart w:id="99" w:name="_Toc64314675"/>
      <w:r w:rsidRPr="00255CDA">
        <w:rPr>
          <w:rFonts w:cs="Arial"/>
          <w:color w:val="2F5496"/>
        </w:rPr>
        <w:t xml:space="preserve">Gráfico </w:t>
      </w:r>
      <w:r w:rsidR="005A57C4">
        <w:rPr>
          <w:rFonts w:cs="Arial"/>
          <w:color w:val="2F5496"/>
        </w:rPr>
        <w:t>3.</w:t>
      </w:r>
      <w:r w:rsidRPr="00255CDA">
        <w:rPr>
          <w:rFonts w:cs="Arial"/>
          <w:color w:val="2F5496"/>
        </w:rPr>
        <w:t>6: Resoluciones de solicitudes de acceso presentadas durante el año 2022 por plazo de tramitación</w:t>
      </w:r>
      <w:bookmarkEnd w:id="98"/>
      <w:bookmarkEnd w:id="99"/>
    </w:p>
    <w:p w:rsidR="00255CDA" w:rsidRPr="00255CDA" w:rsidRDefault="00292586" w:rsidP="00292586">
      <w:pPr>
        <w:pStyle w:val="Textodeprrafo"/>
        <w:jc w:val="center"/>
        <w:rPr>
          <w:color w:val="231F20"/>
        </w:rPr>
      </w:pPr>
      <w:r>
        <w:rPr>
          <w:noProof/>
          <w:color w:val="231F20"/>
          <w:lang w:eastAsia="es-ES" w:bidi="ar-SA"/>
        </w:rPr>
        <w:drawing>
          <wp:inline distT="0" distB="0" distL="0" distR="0">
            <wp:extent cx="5112000" cy="2912400"/>
            <wp:effectExtent l="12700" t="12700" r="635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12000" cy="2912400"/>
                    </a:xfrm>
                    <a:prstGeom prst="rect">
                      <a:avLst/>
                    </a:prstGeom>
                    <a:ln>
                      <a:solidFill>
                        <a:schemeClr val="accent1"/>
                      </a:solidFill>
                    </a:ln>
                  </pic:spPr>
                </pic:pic>
              </a:graphicData>
            </a:graphic>
          </wp:inline>
        </w:drawing>
      </w:r>
    </w:p>
    <w:p w:rsidR="00255CDA" w:rsidRPr="00255CDA" w:rsidRDefault="00255CDA" w:rsidP="00255CDA">
      <w:pPr>
        <w:pStyle w:val="Textodeprrafo"/>
        <w:rPr>
          <w:color w:val="231F20"/>
        </w:rPr>
      </w:pPr>
    </w:p>
    <w:p w:rsidR="00255CDA" w:rsidRPr="00247964" w:rsidRDefault="00255CDA" w:rsidP="00255CDA">
      <w:pPr>
        <w:pStyle w:val="Textodeprrafo"/>
        <w:rPr>
          <w:color w:val="FF0000"/>
          <w:sz w:val="22"/>
          <w:szCs w:val="22"/>
        </w:rPr>
      </w:pPr>
      <w:r w:rsidRPr="00247964">
        <w:rPr>
          <w:color w:val="231F20"/>
          <w:sz w:val="22"/>
          <w:szCs w:val="22"/>
        </w:rPr>
        <w:t>Hay pautas habituales en esta serie de datos (plazo ordinario de resolución de las solicitudes y plazo extraordinario de resolución de 40 días) que se muestran gráficamente en la longitud de las columnas previas a los 20 y 40 días. El porcentaje de resolución de las solicitudes recibidas es próximo al 100</w:t>
      </w:r>
      <w:r w:rsidR="00247964">
        <w:rPr>
          <w:color w:val="231F20"/>
          <w:sz w:val="22"/>
          <w:szCs w:val="22"/>
        </w:rPr>
        <w:t> </w:t>
      </w:r>
      <w:r w:rsidRPr="00247964">
        <w:rPr>
          <w:color w:val="231F20"/>
          <w:sz w:val="22"/>
          <w:szCs w:val="22"/>
        </w:rPr>
        <w:t>%</w:t>
      </w:r>
      <w:r w:rsidRPr="00247964">
        <w:rPr>
          <w:color w:val="000000" w:themeColor="text1"/>
          <w:sz w:val="22"/>
          <w:szCs w:val="22"/>
        </w:rPr>
        <w:t>.</w:t>
      </w:r>
    </w:p>
    <w:p w:rsidR="00255CDA" w:rsidRPr="00247964" w:rsidRDefault="00255CDA" w:rsidP="00255CDA">
      <w:pPr>
        <w:pStyle w:val="Textodeprrafo"/>
        <w:rPr>
          <w:color w:val="231F20"/>
          <w:sz w:val="22"/>
          <w:szCs w:val="22"/>
        </w:rPr>
      </w:pPr>
      <w:r w:rsidRPr="00247964">
        <w:rPr>
          <w:color w:val="231F20"/>
          <w:sz w:val="22"/>
          <w:szCs w:val="22"/>
        </w:rPr>
        <w:t>De las 273 solicitudes resueltas fuera del plazo ordinario de 20 días, la justificación recurrente sigue siendo la motivada por el volumen o complejidad de la información solicitada, que permite la ampliación de plazo. Como novedad apuntar que la segunda causa más habitual esgrimida han sido las dificultades técnicas en la tramitación, con un porcentaje que no supera el 12</w:t>
      </w:r>
      <w:r w:rsidR="00247964">
        <w:rPr>
          <w:color w:val="231F20"/>
          <w:sz w:val="22"/>
          <w:szCs w:val="22"/>
        </w:rPr>
        <w:t> </w:t>
      </w:r>
      <w:r w:rsidRPr="00247964">
        <w:rPr>
          <w:color w:val="231F20"/>
          <w:sz w:val="22"/>
          <w:szCs w:val="22"/>
        </w:rPr>
        <w:t>%. La tercera causa, segunda causa más habitual en 2021, son las dificultades sobrevenidas para la recopilación de la información, no llegando al 9</w:t>
      </w:r>
      <w:r w:rsidR="00247964">
        <w:rPr>
          <w:color w:val="231F20"/>
          <w:sz w:val="22"/>
          <w:szCs w:val="22"/>
        </w:rPr>
        <w:t> </w:t>
      </w:r>
      <w:r w:rsidRPr="00247964">
        <w:rPr>
          <w:color w:val="231F20"/>
          <w:sz w:val="22"/>
          <w:szCs w:val="22"/>
        </w:rPr>
        <w:t>% de expedientes. Disminuyen en muy amplio porcentaje el resto de causas alegadas.</w:t>
      </w:r>
      <w:bookmarkStart w:id="100" w:name="_Toc64153855"/>
    </w:p>
    <w:p w:rsidR="00255CDA" w:rsidRPr="005A57C4" w:rsidRDefault="00292586" w:rsidP="005A57C4">
      <w:pPr>
        <w:rPr>
          <w:rFonts w:ascii="Arial" w:eastAsia="SimSun" w:hAnsi="Arial" w:cs="Arial"/>
          <w:b/>
          <w:color w:val="231F20"/>
          <w:kern w:val="3"/>
          <w:sz w:val="20"/>
          <w:szCs w:val="24"/>
          <w:lang w:eastAsia="zh-CN" w:bidi="hi-IN"/>
        </w:rPr>
      </w:pPr>
      <w:r>
        <w:rPr>
          <w:b/>
          <w:color w:val="231F20"/>
        </w:rPr>
        <w:br w:type="page"/>
      </w:r>
    </w:p>
    <w:p w:rsidR="00255CDA" w:rsidRPr="00255CDA" w:rsidRDefault="00255CDA" w:rsidP="00255CDA">
      <w:pPr>
        <w:pStyle w:val="Subttulo"/>
        <w:spacing w:before="0" w:after="400" w:afterAutospacing="0" w:line="20" w:lineRule="atLeast"/>
        <w:rPr>
          <w:rFonts w:cs="Arial"/>
          <w:color w:val="2F5496"/>
        </w:rPr>
      </w:pPr>
      <w:bookmarkStart w:id="101" w:name="_Toc64314676"/>
      <w:r w:rsidRPr="00255CDA">
        <w:rPr>
          <w:rFonts w:cs="Arial"/>
          <w:color w:val="2F5496"/>
        </w:rPr>
        <w:lastRenderedPageBreak/>
        <w:t xml:space="preserve">Tabla </w:t>
      </w:r>
      <w:r w:rsidR="005A57C4">
        <w:rPr>
          <w:rFonts w:cs="Arial"/>
          <w:color w:val="2F5496"/>
        </w:rPr>
        <w:t>3.</w:t>
      </w:r>
      <w:r w:rsidRPr="00255CDA">
        <w:rPr>
          <w:rFonts w:cs="Arial"/>
          <w:color w:val="2F5496"/>
        </w:rPr>
        <w:t>2: Justificación de la demora en la resolución</w:t>
      </w:r>
      <w:bookmarkEnd w:id="100"/>
      <w:bookmarkEnd w:id="101"/>
    </w:p>
    <w:tbl>
      <w:tblPr>
        <w:tblW w:w="8505" w:type="dxa"/>
        <w:tblCellMar>
          <w:left w:w="70" w:type="dxa"/>
          <w:right w:w="70" w:type="dxa"/>
        </w:tblCellMar>
        <w:tblLook w:val="04A0" w:firstRow="1" w:lastRow="0" w:firstColumn="1" w:lastColumn="0" w:noHBand="0" w:noVBand="1"/>
      </w:tblPr>
      <w:tblGrid>
        <w:gridCol w:w="7538"/>
        <w:gridCol w:w="1229"/>
      </w:tblGrid>
      <w:tr w:rsidR="00255CDA" w:rsidRPr="00255CDA" w:rsidTr="00C45599">
        <w:trPr>
          <w:trHeight w:val="347"/>
        </w:trPr>
        <w:tc>
          <w:tcPr>
            <w:tcW w:w="7840" w:type="dxa"/>
            <w:tcBorders>
              <w:top w:val="single" w:sz="8" w:space="0" w:color="00B0F0"/>
              <w:left w:val="single" w:sz="8" w:space="0" w:color="00B0F0"/>
              <w:bottom w:val="single" w:sz="4" w:space="0" w:color="7F7F7F"/>
              <w:right w:val="single" w:sz="8" w:space="0" w:color="00B0F0"/>
            </w:tcBorders>
            <w:shd w:val="clear" w:color="auto" w:fill="auto"/>
            <w:noWrap/>
            <w:vAlign w:val="center"/>
            <w:hideMark/>
          </w:tcPr>
          <w:p w:rsidR="00255CDA" w:rsidRPr="00255CDA" w:rsidRDefault="00255CDA" w:rsidP="00D57F12">
            <w:pPr>
              <w:spacing w:after="0"/>
              <w:rPr>
                <w:rFonts w:ascii="Arial" w:hAnsi="Arial" w:cs="Arial"/>
                <w:bCs/>
                <w:sz w:val="20"/>
                <w:szCs w:val="20"/>
                <w:lang w:eastAsia="es-ES"/>
              </w:rPr>
            </w:pPr>
            <w:r w:rsidRPr="00255CDA">
              <w:rPr>
                <w:rFonts w:ascii="Arial" w:hAnsi="Arial" w:cs="Arial"/>
                <w:bCs/>
                <w:sz w:val="20"/>
                <w:szCs w:val="20"/>
                <w:lang w:eastAsia="es-ES"/>
              </w:rPr>
              <w:t>Ampliación de plazo</w:t>
            </w:r>
          </w:p>
        </w:tc>
        <w:tc>
          <w:tcPr>
            <w:tcW w:w="1273" w:type="dxa"/>
            <w:tcBorders>
              <w:top w:val="single" w:sz="8" w:space="0" w:color="00B0F0"/>
              <w:left w:val="nil"/>
              <w:bottom w:val="single" w:sz="4" w:space="0" w:color="7F7F7F"/>
              <w:right w:val="single" w:sz="8" w:space="0" w:color="00B0F0"/>
            </w:tcBorders>
            <w:shd w:val="clear" w:color="auto" w:fill="auto"/>
            <w:noWrap/>
            <w:vAlign w:val="center"/>
            <w:hideMark/>
          </w:tcPr>
          <w:p w:rsidR="00255CDA" w:rsidRPr="00255CDA" w:rsidRDefault="00255CDA" w:rsidP="00D57F12">
            <w:pPr>
              <w:spacing w:after="0"/>
              <w:jc w:val="center"/>
              <w:rPr>
                <w:rFonts w:ascii="Arial" w:hAnsi="Arial" w:cs="Arial"/>
                <w:bCs/>
                <w:sz w:val="20"/>
                <w:szCs w:val="20"/>
                <w:lang w:eastAsia="es-ES"/>
              </w:rPr>
            </w:pPr>
            <w:r w:rsidRPr="00255CDA">
              <w:rPr>
                <w:rFonts w:ascii="Arial" w:hAnsi="Arial" w:cs="Arial"/>
                <w:bCs/>
                <w:sz w:val="20"/>
                <w:szCs w:val="20"/>
                <w:lang w:eastAsia="es-ES"/>
              </w:rPr>
              <w:t>184</w:t>
            </w:r>
          </w:p>
        </w:tc>
      </w:tr>
      <w:tr w:rsidR="00255CDA" w:rsidRPr="00255CDA" w:rsidTr="00C45599">
        <w:trPr>
          <w:trHeight w:val="347"/>
        </w:trPr>
        <w:tc>
          <w:tcPr>
            <w:tcW w:w="7840" w:type="dxa"/>
            <w:tcBorders>
              <w:top w:val="single" w:sz="4" w:space="0" w:color="7F7F7F"/>
              <w:left w:val="single" w:sz="4" w:space="0" w:color="7F7F7F"/>
              <w:bottom w:val="single" w:sz="4" w:space="0" w:color="7F7F7F"/>
              <w:right w:val="single" w:sz="4" w:space="0" w:color="7F7F7F"/>
            </w:tcBorders>
            <w:shd w:val="clear" w:color="auto" w:fill="ABE9FF"/>
            <w:noWrap/>
            <w:vAlign w:val="center"/>
            <w:hideMark/>
          </w:tcPr>
          <w:p w:rsidR="00255CDA" w:rsidRPr="00255CDA" w:rsidRDefault="00255CDA" w:rsidP="00D57F12">
            <w:pPr>
              <w:spacing w:after="0"/>
              <w:rPr>
                <w:rFonts w:ascii="Arial" w:hAnsi="Arial" w:cs="Arial"/>
                <w:bCs/>
                <w:sz w:val="20"/>
                <w:szCs w:val="20"/>
                <w:lang w:eastAsia="es-ES"/>
              </w:rPr>
            </w:pPr>
            <w:r w:rsidRPr="00255CDA">
              <w:rPr>
                <w:rFonts w:ascii="Arial" w:hAnsi="Arial" w:cs="Arial"/>
                <w:bCs/>
                <w:sz w:val="20"/>
                <w:szCs w:val="20"/>
                <w:lang w:eastAsia="es-ES"/>
              </w:rPr>
              <w:t>Dificultades técnicas en la tramitación</w:t>
            </w:r>
          </w:p>
        </w:tc>
        <w:tc>
          <w:tcPr>
            <w:tcW w:w="1273" w:type="dxa"/>
            <w:tcBorders>
              <w:top w:val="single" w:sz="4" w:space="0" w:color="7F7F7F"/>
              <w:left w:val="single" w:sz="4" w:space="0" w:color="7F7F7F"/>
              <w:bottom w:val="single" w:sz="4" w:space="0" w:color="7F7F7F"/>
              <w:right w:val="single" w:sz="4" w:space="0" w:color="7F7F7F"/>
            </w:tcBorders>
            <w:shd w:val="clear" w:color="auto" w:fill="ABE9FF"/>
            <w:noWrap/>
            <w:vAlign w:val="center"/>
            <w:hideMark/>
          </w:tcPr>
          <w:p w:rsidR="00255CDA" w:rsidRPr="00255CDA" w:rsidRDefault="00255CDA" w:rsidP="00D57F12">
            <w:pPr>
              <w:spacing w:after="0"/>
              <w:jc w:val="center"/>
              <w:rPr>
                <w:rFonts w:ascii="Arial" w:hAnsi="Arial" w:cs="Arial"/>
                <w:bCs/>
                <w:sz w:val="20"/>
                <w:szCs w:val="20"/>
                <w:lang w:eastAsia="es-ES"/>
              </w:rPr>
            </w:pPr>
            <w:r w:rsidRPr="00255CDA">
              <w:rPr>
                <w:rFonts w:ascii="Arial" w:hAnsi="Arial" w:cs="Arial"/>
                <w:bCs/>
                <w:sz w:val="20"/>
                <w:szCs w:val="20"/>
                <w:lang w:eastAsia="es-ES"/>
              </w:rPr>
              <w:t>31</w:t>
            </w:r>
          </w:p>
        </w:tc>
      </w:tr>
      <w:tr w:rsidR="00255CDA" w:rsidRPr="00255CDA" w:rsidTr="00C45599">
        <w:trPr>
          <w:trHeight w:val="347"/>
        </w:trPr>
        <w:tc>
          <w:tcPr>
            <w:tcW w:w="7840" w:type="dxa"/>
            <w:tcBorders>
              <w:top w:val="single" w:sz="4" w:space="0" w:color="7F7F7F"/>
              <w:left w:val="single" w:sz="8" w:space="0" w:color="00B0F0"/>
              <w:bottom w:val="single" w:sz="4" w:space="0" w:color="7F7F7F"/>
              <w:right w:val="single" w:sz="8" w:space="0" w:color="00B0F0"/>
            </w:tcBorders>
            <w:shd w:val="clear" w:color="auto" w:fill="auto"/>
            <w:noWrap/>
            <w:vAlign w:val="center"/>
            <w:hideMark/>
          </w:tcPr>
          <w:p w:rsidR="00255CDA" w:rsidRPr="00255CDA" w:rsidRDefault="00255CDA" w:rsidP="00D57F12">
            <w:pPr>
              <w:spacing w:after="0"/>
              <w:rPr>
                <w:rFonts w:ascii="Arial" w:hAnsi="Arial" w:cs="Arial"/>
                <w:bCs/>
                <w:sz w:val="20"/>
                <w:szCs w:val="20"/>
                <w:lang w:eastAsia="es-ES"/>
              </w:rPr>
            </w:pPr>
            <w:r w:rsidRPr="00255CDA">
              <w:rPr>
                <w:rFonts w:ascii="Arial" w:hAnsi="Arial" w:cs="Arial"/>
                <w:bCs/>
                <w:sz w:val="20"/>
                <w:szCs w:val="20"/>
                <w:lang w:eastAsia="es-ES"/>
              </w:rPr>
              <w:t>Dificultades sobrevenidas para recopilar la información</w:t>
            </w:r>
          </w:p>
        </w:tc>
        <w:tc>
          <w:tcPr>
            <w:tcW w:w="1273" w:type="dxa"/>
            <w:tcBorders>
              <w:top w:val="single" w:sz="4" w:space="0" w:color="7F7F7F"/>
              <w:left w:val="nil"/>
              <w:bottom w:val="single" w:sz="4" w:space="0" w:color="7F7F7F"/>
              <w:right w:val="single" w:sz="8" w:space="0" w:color="00B0F0"/>
            </w:tcBorders>
            <w:shd w:val="clear" w:color="auto" w:fill="auto"/>
            <w:noWrap/>
            <w:vAlign w:val="center"/>
            <w:hideMark/>
          </w:tcPr>
          <w:p w:rsidR="00255CDA" w:rsidRPr="00255CDA" w:rsidRDefault="00255CDA" w:rsidP="00D57F12">
            <w:pPr>
              <w:spacing w:after="0"/>
              <w:jc w:val="center"/>
              <w:rPr>
                <w:rFonts w:ascii="Arial" w:hAnsi="Arial" w:cs="Arial"/>
                <w:bCs/>
                <w:sz w:val="20"/>
                <w:szCs w:val="20"/>
                <w:lang w:eastAsia="es-ES"/>
              </w:rPr>
            </w:pPr>
            <w:r w:rsidRPr="00255CDA">
              <w:rPr>
                <w:rFonts w:ascii="Arial" w:hAnsi="Arial" w:cs="Arial"/>
                <w:bCs/>
                <w:sz w:val="20"/>
                <w:szCs w:val="20"/>
                <w:lang w:eastAsia="es-ES"/>
              </w:rPr>
              <w:t>24</w:t>
            </w:r>
          </w:p>
        </w:tc>
      </w:tr>
      <w:tr w:rsidR="00255CDA" w:rsidRPr="00255CDA" w:rsidTr="00C45599">
        <w:trPr>
          <w:trHeight w:val="347"/>
        </w:trPr>
        <w:tc>
          <w:tcPr>
            <w:tcW w:w="7840" w:type="dxa"/>
            <w:tcBorders>
              <w:top w:val="single" w:sz="4" w:space="0" w:color="7F7F7F"/>
              <w:left w:val="single" w:sz="4" w:space="0" w:color="7F7F7F"/>
              <w:bottom w:val="single" w:sz="4" w:space="0" w:color="7F7F7F"/>
              <w:right w:val="single" w:sz="4" w:space="0" w:color="7F7F7F"/>
            </w:tcBorders>
            <w:shd w:val="clear" w:color="auto" w:fill="ABE9FF"/>
            <w:noWrap/>
            <w:vAlign w:val="center"/>
            <w:hideMark/>
          </w:tcPr>
          <w:p w:rsidR="00255CDA" w:rsidRPr="00255CDA" w:rsidRDefault="00255CDA" w:rsidP="00D57F12">
            <w:pPr>
              <w:spacing w:after="0"/>
              <w:rPr>
                <w:rFonts w:ascii="Arial" w:hAnsi="Arial" w:cs="Arial"/>
                <w:bCs/>
                <w:sz w:val="20"/>
                <w:szCs w:val="20"/>
                <w:lang w:eastAsia="es-ES"/>
              </w:rPr>
            </w:pPr>
            <w:r w:rsidRPr="00255CDA">
              <w:rPr>
                <w:rFonts w:ascii="Arial" w:hAnsi="Arial" w:cs="Arial"/>
                <w:bCs/>
                <w:sz w:val="20"/>
                <w:szCs w:val="20"/>
                <w:lang w:eastAsia="es-ES"/>
              </w:rPr>
              <w:t>Suspensión plazo por requerimiento o alegaciones</w:t>
            </w:r>
          </w:p>
        </w:tc>
        <w:tc>
          <w:tcPr>
            <w:tcW w:w="1273" w:type="dxa"/>
            <w:tcBorders>
              <w:top w:val="single" w:sz="4" w:space="0" w:color="7F7F7F"/>
              <w:left w:val="single" w:sz="4" w:space="0" w:color="7F7F7F"/>
              <w:bottom w:val="single" w:sz="4" w:space="0" w:color="7F7F7F"/>
              <w:right w:val="single" w:sz="4" w:space="0" w:color="7F7F7F"/>
            </w:tcBorders>
            <w:shd w:val="clear" w:color="auto" w:fill="ABE9FF"/>
            <w:noWrap/>
            <w:vAlign w:val="center"/>
            <w:hideMark/>
          </w:tcPr>
          <w:p w:rsidR="00255CDA" w:rsidRPr="00255CDA" w:rsidRDefault="00255CDA" w:rsidP="00D57F12">
            <w:pPr>
              <w:spacing w:after="0"/>
              <w:jc w:val="center"/>
              <w:rPr>
                <w:rFonts w:ascii="Arial" w:hAnsi="Arial" w:cs="Arial"/>
                <w:bCs/>
                <w:sz w:val="20"/>
                <w:szCs w:val="20"/>
                <w:lang w:eastAsia="es-ES"/>
              </w:rPr>
            </w:pPr>
            <w:r w:rsidRPr="00255CDA">
              <w:rPr>
                <w:rFonts w:ascii="Arial" w:hAnsi="Arial" w:cs="Arial"/>
                <w:bCs/>
                <w:sz w:val="20"/>
                <w:szCs w:val="20"/>
                <w:lang w:eastAsia="es-ES"/>
              </w:rPr>
              <w:t>14</w:t>
            </w:r>
          </w:p>
        </w:tc>
      </w:tr>
      <w:tr w:rsidR="00255CDA" w:rsidRPr="00255CDA" w:rsidTr="00C45599">
        <w:trPr>
          <w:trHeight w:val="347"/>
        </w:trPr>
        <w:tc>
          <w:tcPr>
            <w:tcW w:w="7840" w:type="dxa"/>
            <w:tcBorders>
              <w:top w:val="single" w:sz="4" w:space="0" w:color="7F7F7F"/>
              <w:left w:val="single" w:sz="8" w:space="0" w:color="00B0F0"/>
              <w:bottom w:val="single" w:sz="4" w:space="0" w:color="7F7F7F"/>
              <w:right w:val="single" w:sz="8" w:space="0" w:color="00B0F0"/>
            </w:tcBorders>
            <w:shd w:val="clear" w:color="auto" w:fill="auto"/>
            <w:noWrap/>
            <w:vAlign w:val="center"/>
            <w:hideMark/>
          </w:tcPr>
          <w:p w:rsidR="00255CDA" w:rsidRPr="00255CDA" w:rsidRDefault="00255CDA" w:rsidP="00D57F12">
            <w:pPr>
              <w:spacing w:after="0"/>
              <w:rPr>
                <w:rFonts w:ascii="Arial" w:hAnsi="Arial" w:cs="Arial"/>
                <w:bCs/>
                <w:sz w:val="20"/>
                <w:szCs w:val="20"/>
                <w:lang w:eastAsia="es-ES"/>
              </w:rPr>
            </w:pPr>
            <w:r w:rsidRPr="00255CDA">
              <w:rPr>
                <w:rFonts w:ascii="Arial" w:hAnsi="Arial" w:cs="Arial"/>
                <w:bCs/>
                <w:sz w:val="20"/>
                <w:szCs w:val="20"/>
                <w:lang w:eastAsia="es-ES"/>
              </w:rPr>
              <w:t>Información en poder de varios órganos que se han retrasado en su remisión</w:t>
            </w:r>
          </w:p>
        </w:tc>
        <w:tc>
          <w:tcPr>
            <w:tcW w:w="1273" w:type="dxa"/>
            <w:tcBorders>
              <w:top w:val="single" w:sz="4" w:space="0" w:color="7F7F7F"/>
              <w:left w:val="nil"/>
              <w:bottom w:val="single" w:sz="4" w:space="0" w:color="7F7F7F"/>
              <w:right w:val="single" w:sz="8" w:space="0" w:color="00B0F0"/>
            </w:tcBorders>
            <w:shd w:val="clear" w:color="auto" w:fill="auto"/>
            <w:noWrap/>
            <w:vAlign w:val="center"/>
            <w:hideMark/>
          </w:tcPr>
          <w:p w:rsidR="00255CDA" w:rsidRPr="00255CDA" w:rsidRDefault="00255CDA" w:rsidP="00D57F12">
            <w:pPr>
              <w:spacing w:after="0"/>
              <w:jc w:val="center"/>
              <w:rPr>
                <w:rFonts w:ascii="Arial" w:hAnsi="Arial" w:cs="Arial"/>
                <w:bCs/>
                <w:sz w:val="20"/>
                <w:szCs w:val="20"/>
                <w:lang w:eastAsia="es-ES"/>
              </w:rPr>
            </w:pPr>
            <w:r w:rsidRPr="00255CDA">
              <w:rPr>
                <w:rFonts w:ascii="Arial" w:hAnsi="Arial" w:cs="Arial"/>
                <w:bCs/>
                <w:sz w:val="20"/>
                <w:szCs w:val="20"/>
                <w:lang w:eastAsia="es-ES"/>
              </w:rPr>
              <w:t>8</w:t>
            </w:r>
          </w:p>
        </w:tc>
      </w:tr>
      <w:tr w:rsidR="00255CDA" w:rsidRPr="00255CDA" w:rsidTr="00C45599">
        <w:trPr>
          <w:trHeight w:val="347"/>
        </w:trPr>
        <w:tc>
          <w:tcPr>
            <w:tcW w:w="7840" w:type="dxa"/>
            <w:tcBorders>
              <w:top w:val="single" w:sz="4" w:space="0" w:color="7F7F7F"/>
              <w:left w:val="single" w:sz="4" w:space="0" w:color="7F7F7F"/>
              <w:bottom w:val="single" w:sz="4" w:space="0" w:color="7F7F7F"/>
              <w:right w:val="single" w:sz="4" w:space="0" w:color="7F7F7F"/>
            </w:tcBorders>
            <w:shd w:val="clear" w:color="auto" w:fill="ABE9FF"/>
            <w:noWrap/>
            <w:vAlign w:val="center"/>
            <w:hideMark/>
          </w:tcPr>
          <w:p w:rsidR="00255CDA" w:rsidRPr="00255CDA" w:rsidRDefault="00255CDA" w:rsidP="00D57F12">
            <w:pPr>
              <w:spacing w:after="0"/>
              <w:rPr>
                <w:rFonts w:ascii="Arial" w:hAnsi="Arial" w:cs="Arial"/>
                <w:bCs/>
                <w:sz w:val="20"/>
                <w:szCs w:val="20"/>
                <w:lang w:eastAsia="es-ES"/>
              </w:rPr>
            </w:pPr>
            <w:r w:rsidRPr="00255CDA">
              <w:rPr>
                <w:rFonts w:ascii="Arial" w:hAnsi="Arial" w:cs="Arial"/>
                <w:bCs/>
                <w:sz w:val="20"/>
                <w:szCs w:val="20"/>
                <w:lang w:eastAsia="es-ES"/>
              </w:rPr>
              <w:t>Demora en recepción de la solicitud</w:t>
            </w:r>
          </w:p>
        </w:tc>
        <w:tc>
          <w:tcPr>
            <w:tcW w:w="1273" w:type="dxa"/>
            <w:tcBorders>
              <w:top w:val="single" w:sz="4" w:space="0" w:color="7F7F7F"/>
              <w:left w:val="single" w:sz="4" w:space="0" w:color="7F7F7F"/>
              <w:bottom w:val="single" w:sz="4" w:space="0" w:color="7F7F7F"/>
              <w:right w:val="single" w:sz="4" w:space="0" w:color="7F7F7F"/>
            </w:tcBorders>
            <w:shd w:val="clear" w:color="auto" w:fill="ABE9FF"/>
            <w:noWrap/>
            <w:vAlign w:val="center"/>
            <w:hideMark/>
          </w:tcPr>
          <w:p w:rsidR="00255CDA" w:rsidRPr="00255CDA" w:rsidRDefault="00255CDA" w:rsidP="00D57F12">
            <w:pPr>
              <w:spacing w:after="0"/>
              <w:jc w:val="center"/>
              <w:rPr>
                <w:rFonts w:ascii="Arial" w:hAnsi="Arial" w:cs="Arial"/>
                <w:bCs/>
                <w:sz w:val="20"/>
                <w:szCs w:val="20"/>
                <w:lang w:eastAsia="es-ES"/>
              </w:rPr>
            </w:pPr>
            <w:r w:rsidRPr="00255CDA">
              <w:rPr>
                <w:rFonts w:ascii="Arial" w:hAnsi="Arial" w:cs="Arial"/>
                <w:bCs/>
                <w:sz w:val="20"/>
                <w:szCs w:val="20"/>
                <w:lang w:eastAsia="es-ES"/>
              </w:rPr>
              <w:t>6</w:t>
            </w:r>
          </w:p>
        </w:tc>
      </w:tr>
      <w:tr w:rsidR="00255CDA" w:rsidRPr="00255CDA" w:rsidTr="00C45599">
        <w:trPr>
          <w:trHeight w:val="347"/>
        </w:trPr>
        <w:tc>
          <w:tcPr>
            <w:tcW w:w="7840" w:type="dxa"/>
            <w:tcBorders>
              <w:top w:val="single" w:sz="4" w:space="0" w:color="7F7F7F"/>
              <w:left w:val="single" w:sz="8" w:space="0" w:color="00B0F0"/>
              <w:bottom w:val="single" w:sz="4" w:space="0" w:color="7F7F7F"/>
              <w:right w:val="single" w:sz="8" w:space="0" w:color="00B0F0"/>
            </w:tcBorders>
            <w:shd w:val="clear" w:color="auto" w:fill="auto"/>
            <w:noWrap/>
            <w:vAlign w:val="center"/>
            <w:hideMark/>
          </w:tcPr>
          <w:p w:rsidR="00255CDA" w:rsidRPr="00255CDA" w:rsidRDefault="00255CDA" w:rsidP="00D57F12">
            <w:pPr>
              <w:spacing w:after="0"/>
              <w:rPr>
                <w:rFonts w:ascii="Arial" w:hAnsi="Arial" w:cs="Arial"/>
                <w:bCs/>
                <w:sz w:val="20"/>
                <w:szCs w:val="20"/>
                <w:lang w:eastAsia="es-ES"/>
              </w:rPr>
            </w:pPr>
            <w:r w:rsidRPr="00255CDA">
              <w:rPr>
                <w:rFonts w:ascii="Arial" w:hAnsi="Arial" w:cs="Arial"/>
                <w:bCs/>
                <w:sz w:val="20"/>
                <w:szCs w:val="20"/>
                <w:lang w:eastAsia="es-ES"/>
              </w:rPr>
              <w:t>Imposibilidad de notificación</w:t>
            </w:r>
          </w:p>
        </w:tc>
        <w:tc>
          <w:tcPr>
            <w:tcW w:w="1273" w:type="dxa"/>
            <w:tcBorders>
              <w:top w:val="single" w:sz="4" w:space="0" w:color="7F7F7F"/>
              <w:left w:val="nil"/>
              <w:bottom w:val="single" w:sz="4" w:space="0" w:color="7F7F7F"/>
              <w:right w:val="single" w:sz="8" w:space="0" w:color="00B0F0"/>
            </w:tcBorders>
            <w:shd w:val="clear" w:color="auto" w:fill="auto"/>
            <w:noWrap/>
            <w:vAlign w:val="center"/>
            <w:hideMark/>
          </w:tcPr>
          <w:p w:rsidR="00255CDA" w:rsidRPr="00255CDA" w:rsidRDefault="00255CDA" w:rsidP="00D57F12">
            <w:pPr>
              <w:spacing w:after="0"/>
              <w:jc w:val="center"/>
              <w:rPr>
                <w:rFonts w:ascii="Arial" w:hAnsi="Arial" w:cs="Arial"/>
                <w:bCs/>
                <w:sz w:val="20"/>
                <w:szCs w:val="20"/>
                <w:lang w:eastAsia="es-ES"/>
              </w:rPr>
            </w:pPr>
            <w:r w:rsidRPr="00255CDA">
              <w:rPr>
                <w:rFonts w:ascii="Arial" w:hAnsi="Arial" w:cs="Arial"/>
                <w:bCs/>
                <w:sz w:val="20"/>
                <w:szCs w:val="20"/>
                <w:lang w:eastAsia="es-ES"/>
              </w:rPr>
              <w:t>5</w:t>
            </w:r>
          </w:p>
        </w:tc>
      </w:tr>
      <w:tr w:rsidR="00255CDA" w:rsidRPr="00255CDA" w:rsidTr="00C45599">
        <w:trPr>
          <w:trHeight w:val="347"/>
        </w:trPr>
        <w:tc>
          <w:tcPr>
            <w:tcW w:w="7840" w:type="dxa"/>
            <w:tcBorders>
              <w:top w:val="single" w:sz="4" w:space="0" w:color="7F7F7F"/>
              <w:left w:val="single" w:sz="4" w:space="0" w:color="7F7F7F"/>
              <w:bottom w:val="single" w:sz="4" w:space="0" w:color="7F7F7F"/>
              <w:right w:val="single" w:sz="4" w:space="0" w:color="7F7F7F"/>
            </w:tcBorders>
            <w:shd w:val="clear" w:color="auto" w:fill="ABE9FF"/>
            <w:noWrap/>
            <w:vAlign w:val="center"/>
            <w:hideMark/>
          </w:tcPr>
          <w:p w:rsidR="00255CDA" w:rsidRPr="00255CDA" w:rsidRDefault="00255CDA" w:rsidP="00D57F12">
            <w:pPr>
              <w:spacing w:after="0"/>
              <w:rPr>
                <w:rFonts w:ascii="Arial" w:hAnsi="Arial" w:cs="Arial"/>
                <w:bCs/>
                <w:sz w:val="20"/>
                <w:szCs w:val="20"/>
                <w:lang w:eastAsia="es-ES"/>
              </w:rPr>
            </w:pPr>
            <w:r w:rsidRPr="00255CDA">
              <w:rPr>
                <w:rFonts w:ascii="Arial" w:hAnsi="Arial" w:cs="Arial"/>
                <w:bCs/>
                <w:sz w:val="20"/>
                <w:szCs w:val="20"/>
                <w:lang w:eastAsia="es-ES"/>
              </w:rPr>
              <w:t>Vacante titular del órgano/dificultades orgánicas</w:t>
            </w:r>
          </w:p>
        </w:tc>
        <w:tc>
          <w:tcPr>
            <w:tcW w:w="1273" w:type="dxa"/>
            <w:tcBorders>
              <w:top w:val="single" w:sz="4" w:space="0" w:color="7F7F7F"/>
              <w:left w:val="single" w:sz="4" w:space="0" w:color="7F7F7F"/>
              <w:bottom w:val="single" w:sz="4" w:space="0" w:color="7F7F7F"/>
              <w:right w:val="single" w:sz="4" w:space="0" w:color="7F7F7F"/>
            </w:tcBorders>
            <w:shd w:val="clear" w:color="auto" w:fill="ABE9FF"/>
            <w:noWrap/>
            <w:vAlign w:val="center"/>
            <w:hideMark/>
          </w:tcPr>
          <w:p w:rsidR="00255CDA" w:rsidRPr="00255CDA" w:rsidRDefault="00255CDA" w:rsidP="00D57F12">
            <w:pPr>
              <w:spacing w:after="0"/>
              <w:jc w:val="center"/>
              <w:rPr>
                <w:rFonts w:ascii="Arial" w:hAnsi="Arial" w:cs="Arial"/>
                <w:bCs/>
                <w:sz w:val="20"/>
                <w:szCs w:val="20"/>
                <w:lang w:eastAsia="es-ES"/>
              </w:rPr>
            </w:pPr>
            <w:r w:rsidRPr="00255CDA">
              <w:rPr>
                <w:rFonts w:ascii="Arial" w:hAnsi="Arial" w:cs="Arial"/>
                <w:bCs/>
                <w:sz w:val="20"/>
                <w:szCs w:val="20"/>
                <w:lang w:eastAsia="es-ES"/>
              </w:rPr>
              <w:t>4</w:t>
            </w:r>
          </w:p>
        </w:tc>
      </w:tr>
      <w:tr w:rsidR="00255CDA" w:rsidRPr="00255CDA" w:rsidTr="00C45599">
        <w:trPr>
          <w:trHeight w:val="347"/>
        </w:trPr>
        <w:tc>
          <w:tcPr>
            <w:tcW w:w="7840" w:type="dxa"/>
            <w:tcBorders>
              <w:top w:val="single" w:sz="4" w:space="0" w:color="7F7F7F"/>
              <w:left w:val="single" w:sz="8" w:space="0" w:color="00B0F0"/>
              <w:bottom w:val="single" w:sz="4" w:space="0" w:color="7F7F7F"/>
              <w:right w:val="single" w:sz="8" w:space="0" w:color="00B0F0"/>
            </w:tcBorders>
            <w:shd w:val="clear" w:color="auto" w:fill="auto"/>
            <w:noWrap/>
            <w:vAlign w:val="center"/>
            <w:hideMark/>
          </w:tcPr>
          <w:p w:rsidR="00255CDA" w:rsidRPr="00255CDA" w:rsidRDefault="00255CDA" w:rsidP="00D57F12">
            <w:pPr>
              <w:spacing w:after="0"/>
              <w:rPr>
                <w:rFonts w:ascii="Arial" w:hAnsi="Arial" w:cs="Arial"/>
                <w:bCs/>
                <w:sz w:val="20"/>
                <w:szCs w:val="20"/>
                <w:lang w:eastAsia="es-ES"/>
              </w:rPr>
            </w:pPr>
            <w:r w:rsidRPr="00255CDA">
              <w:rPr>
                <w:rFonts w:ascii="Arial" w:hAnsi="Arial" w:cs="Arial"/>
                <w:bCs/>
                <w:sz w:val="20"/>
                <w:szCs w:val="20"/>
                <w:lang w:eastAsia="es-ES"/>
              </w:rPr>
              <w:t>Solicitud dirigida a órgano no poseedor de la información</w:t>
            </w:r>
          </w:p>
        </w:tc>
        <w:tc>
          <w:tcPr>
            <w:tcW w:w="1273" w:type="dxa"/>
            <w:tcBorders>
              <w:top w:val="single" w:sz="4" w:space="0" w:color="7F7F7F"/>
              <w:left w:val="nil"/>
              <w:bottom w:val="single" w:sz="4" w:space="0" w:color="7F7F7F"/>
              <w:right w:val="single" w:sz="8" w:space="0" w:color="00B0F0"/>
            </w:tcBorders>
            <w:shd w:val="clear" w:color="auto" w:fill="auto"/>
            <w:noWrap/>
            <w:vAlign w:val="center"/>
            <w:hideMark/>
          </w:tcPr>
          <w:p w:rsidR="00255CDA" w:rsidRPr="00255CDA" w:rsidRDefault="00255CDA" w:rsidP="00D57F12">
            <w:pPr>
              <w:spacing w:after="0"/>
              <w:jc w:val="center"/>
              <w:rPr>
                <w:rFonts w:ascii="Arial" w:hAnsi="Arial" w:cs="Arial"/>
                <w:bCs/>
                <w:sz w:val="20"/>
                <w:szCs w:val="20"/>
                <w:lang w:eastAsia="es-ES"/>
              </w:rPr>
            </w:pPr>
            <w:r w:rsidRPr="00255CDA">
              <w:rPr>
                <w:rFonts w:ascii="Arial" w:hAnsi="Arial" w:cs="Arial"/>
                <w:bCs/>
                <w:sz w:val="20"/>
                <w:szCs w:val="20"/>
                <w:lang w:eastAsia="es-ES"/>
              </w:rPr>
              <w:t>1</w:t>
            </w:r>
          </w:p>
        </w:tc>
      </w:tr>
      <w:tr w:rsidR="00255CDA" w:rsidRPr="00255CDA" w:rsidTr="00C45599">
        <w:trPr>
          <w:trHeight w:val="347"/>
        </w:trPr>
        <w:tc>
          <w:tcPr>
            <w:tcW w:w="7840" w:type="dxa"/>
            <w:tcBorders>
              <w:top w:val="single" w:sz="4" w:space="0" w:color="7F7F7F"/>
              <w:left w:val="single" w:sz="4" w:space="0" w:color="7F7F7F"/>
              <w:bottom w:val="single" w:sz="4" w:space="0" w:color="7F7F7F"/>
              <w:right w:val="single" w:sz="4" w:space="0" w:color="7F7F7F"/>
            </w:tcBorders>
            <w:shd w:val="clear" w:color="auto" w:fill="ABE9FF"/>
            <w:noWrap/>
            <w:vAlign w:val="center"/>
            <w:hideMark/>
          </w:tcPr>
          <w:p w:rsidR="00255CDA" w:rsidRPr="00255CDA" w:rsidRDefault="00255CDA" w:rsidP="00D57F12">
            <w:pPr>
              <w:spacing w:after="0"/>
              <w:rPr>
                <w:rFonts w:ascii="Arial" w:hAnsi="Arial" w:cs="Arial"/>
                <w:bCs/>
                <w:sz w:val="20"/>
                <w:szCs w:val="20"/>
                <w:lang w:eastAsia="es-ES"/>
              </w:rPr>
            </w:pPr>
            <w:r w:rsidRPr="00255CDA">
              <w:rPr>
                <w:rFonts w:ascii="Arial" w:hAnsi="Arial" w:cs="Arial"/>
                <w:bCs/>
                <w:sz w:val="20"/>
                <w:szCs w:val="20"/>
                <w:lang w:eastAsia="es-ES"/>
              </w:rPr>
              <w:t>Solicitud remitida por otra Administración Pública u Organismo</w:t>
            </w:r>
          </w:p>
        </w:tc>
        <w:tc>
          <w:tcPr>
            <w:tcW w:w="1273" w:type="dxa"/>
            <w:tcBorders>
              <w:top w:val="single" w:sz="4" w:space="0" w:color="7F7F7F"/>
              <w:left w:val="single" w:sz="4" w:space="0" w:color="7F7F7F"/>
              <w:bottom w:val="single" w:sz="4" w:space="0" w:color="7F7F7F"/>
              <w:right w:val="single" w:sz="4" w:space="0" w:color="7F7F7F"/>
            </w:tcBorders>
            <w:shd w:val="clear" w:color="auto" w:fill="ABE9FF"/>
            <w:noWrap/>
            <w:vAlign w:val="center"/>
            <w:hideMark/>
          </w:tcPr>
          <w:p w:rsidR="00255CDA" w:rsidRPr="00255CDA" w:rsidRDefault="00255CDA" w:rsidP="00D57F12">
            <w:pPr>
              <w:spacing w:after="0"/>
              <w:jc w:val="center"/>
              <w:rPr>
                <w:rFonts w:ascii="Arial" w:hAnsi="Arial" w:cs="Arial"/>
                <w:bCs/>
                <w:sz w:val="20"/>
                <w:szCs w:val="20"/>
                <w:lang w:eastAsia="es-ES"/>
              </w:rPr>
            </w:pPr>
            <w:r w:rsidRPr="00255CDA">
              <w:rPr>
                <w:rFonts w:ascii="Arial" w:hAnsi="Arial" w:cs="Arial"/>
                <w:bCs/>
                <w:sz w:val="20"/>
                <w:szCs w:val="20"/>
                <w:lang w:eastAsia="es-ES"/>
              </w:rPr>
              <w:t>1</w:t>
            </w:r>
          </w:p>
        </w:tc>
      </w:tr>
    </w:tbl>
    <w:p w:rsidR="00255CDA" w:rsidRPr="00255CDA" w:rsidRDefault="00255CDA" w:rsidP="00255CDA">
      <w:pPr>
        <w:pStyle w:val="Subttulo"/>
        <w:spacing w:before="0" w:after="400" w:afterAutospacing="0" w:line="20" w:lineRule="atLeast"/>
        <w:rPr>
          <w:rFonts w:cs="Arial"/>
        </w:rPr>
      </w:pPr>
    </w:p>
    <w:p w:rsidR="00255CDA" w:rsidRPr="00247964" w:rsidRDefault="00255CDA" w:rsidP="00255CDA">
      <w:pPr>
        <w:pStyle w:val="Textodeprrafo"/>
        <w:rPr>
          <w:color w:val="231F20"/>
          <w:sz w:val="22"/>
          <w:szCs w:val="22"/>
        </w:rPr>
      </w:pPr>
      <w:r w:rsidRPr="00247964">
        <w:rPr>
          <w:color w:val="231F20"/>
          <w:sz w:val="22"/>
          <w:szCs w:val="22"/>
        </w:rPr>
        <w:t>La siguiente tabla desglosa las solicitudes que se han resuelto por la Dirección General de Transparencia y Atención al Ciudadano. Se muestran tanto las solicitudes que se han coordinado por la misma, al recaer la información solicitada en el</w:t>
      </w:r>
      <w:r w:rsidR="0014226A">
        <w:rPr>
          <w:color w:val="231F20"/>
          <w:sz w:val="22"/>
          <w:szCs w:val="22"/>
        </w:rPr>
        <w:t xml:space="preserve"> ámbito competencial de varias c</w:t>
      </w:r>
      <w:r w:rsidRPr="00247964">
        <w:rPr>
          <w:color w:val="231F20"/>
          <w:sz w:val="22"/>
          <w:szCs w:val="22"/>
        </w:rPr>
        <w:t>onsejerías, como las que este centro directivo ha resuelto en razón de su competencia por ser el propietario de la información solicitada.</w:t>
      </w:r>
    </w:p>
    <w:p w:rsidR="00255CDA" w:rsidRPr="00247964" w:rsidRDefault="00255CDA" w:rsidP="00255CDA">
      <w:pPr>
        <w:pStyle w:val="Textodeprrafo"/>
        <w:rPr>
          <w:color w:val="231F20"/>
          <w:sz w:val="22"/>
          <w:szCs w:val="22"/>
        </w:rPr>
      </w:pPr>
    </w:p>
    <w:p w:rsidR="00255CDA" w:rsidRPr="00255CDA" w:rsidRDefault="00255CDA" w:rsidP="00255CDA">
      <w:pPr>
        <w:pStyle w:val="Subttulo"/>
        <w:spacing w:before="0" w:line="20" w:lineRule="atLeast"/>
        <w:rPr>
          <w:rFonts w:cs="Arial"/>
          <w:color w:val="2F5496"/>
        </w:rPr>
      </w:pPr>
      <w:bookmarkStart w:id="102" w:name="_Toc64153856"/>
      <w:bookmarkStart w:id="103" w:name="_Toc64314678"/>
      <w:r w:rsidRPr="00255CDA">
        <w:rPr>
          <w:rFonts w:cs="Arial"/>
          <w:color w:val="2F5496"/>
        </w:rPr>
        <w:t xml:space="preserve">Tabla </w:t>
      </w:r>
      <w:r w:rsidR="005A57C4">
        <w:rPr>
          <w:rFonts w:cs="Arial"/>
          <w:color w:val="2F5496"/>
        </w:rPr>
        <w:t>3.</w:t>
      </w:r>
      <w:r w:rsidRPr="00255CDA">
        <w:rPr>
          <w:rFonts w:cs="Arial"/>
          <w:color w:val="2F5496"/>
        </w:rPr>
        <w:t>3: Solicitudes resueltas por la Dirección General de Transparencia y Atención al Ciudadano</w:t>
      </w:r>
      <w:bookmarkEnd w:id="102"/>
      <w:bookmarkEnd w:id="103"/>
    </w:p>
    <w:tbl>
      <w:tblPr>
        <w:tblW w:w="6296" w:type="dxa"/>
        <w:jc w:val="center"/>
        <w:tblCellMar>
          <w:left w:w="70" w:type="dxa"/>
          <w:right w:w="70" w:type="dxa"/>
        </w:tblCellMar>
        <w:tblLook w:val="04A0" w:firstRow="1" w:lastRow="0" w:firstColumn="1" w:lastColumn="0" w:noHBand="0" w:noVBand="1"/>
      </w:tblPr>
      <w:tblGrid>
        <w:gridCol w:w="4773"/>
        <w:gridCol w:w="1523"/>
      </w:tblGrid>
      <w:tr w:rsidR="00255CDA" w:rsidRPr="00255CDA" w:rsidTr="00C45599">
        <w:trPr>
          <w:trHeight w:val="463"/>
          <w:jc w:val="center"/>
        </w:trPr>
        <w:tc>
          <w:tcPr>
            <w:tcW w:w="4773" w:type="dxa"/>
            <w:tcBorders>
              <w:top w:val="single" w:sz="4" w:space="0" w:color="7F7F7F"/>
              <w:left w:val="single" w:sz="4" w:space="0" w:color="7F7F7F"/>
              <w:bottom w:val="single" w:sz="4" w:space="0" w:color="7F7F7F"/>
              <w:right w:val="single" w:sz="4" w:space="0" w:color="7F7F7F"/>
            </w:tcBorders>
            <w:shd w:val="clear" w:color="auto" w:fill="ABE9FF"/>
            <w:noWrap/>
            <w:vAlign w:val="center"/>
            <w:hideMark/>
          </w:tcPr>
          <w:p w:rsidR="00255CDA" w:rsidRPr="00247964" w:rsidRDefault="00255CDA" w:rsidP="00D57F12">
            <w:pPr>
              <w:spacing w:after="0"/>
              <w:rPr>
                <w:rFonts w:ascii="Arial" w:hAnsi="Arial" w:cs="Arial"/>
                <w:b/>
                <w:bCs/>
                <w:color w:val="000000"/>
                <w:sz w:val="20"/>
                <w:szCs w:val="20"/>
                <w:lang w:eastAsia="es-ES"/>
              </w:rPr>
            </w:pPr>
            <w:r w:rsidRPr="00247964">
              <w:rPr>
                <w:rFonts w:ascii="Arial" w:hAnsi="Arial" w:cs="Arial"/>
                <w:b/>
                <w:bCs/>
                <w:color w:val="000000"/>
                <w:sz w:val="20"/>
                <w:szCs w:val="20"/>
                <w:lang w:eastAsia="es-ES"/>
              </w:rPr>
              <w:t>Tipo de resolución</w:t>
            </w:r>
          </w:p>
        </w:tc>
        <w:tc>
          <w:tcPr>
            <w:tcW w:w="1523" w:type="dxa"/>
            <w:tcBorders>
              <w:top w:val="single" w:sz="4" w:space="0" w:color="7F7F7F"/>
              <w:left w:val="single" w:sz="4" w:space="0" w:color="7F7F7F"/>
              <w:bottom w:val="single" w:sz="4" w:space="0" w:color="7F7F7F"/>
              <w:right w:val="single" w:sz="4" w:space="0" w:color="7F7F7F"/>
            </w:tcBorders>
            <w:shd w:val="clear" w:color="auto" w:fill="ABE9FF"/>
            <w:noWrap/>
            <w:vAlign w:val="center"/>
            <w:hideMark/>
          </w:tcPr>
          <w:p w:rsidR="00255CDA" w:rsidRPr="00247964" w:rsidRDefault="00255CDA" w:rsidP="00D57F12">
            <w:pPr>
              <w:spacing w:after="0"/>
              <w:jc w:val="center"/>
              <w:rPr>
                <w:rFonts w:ascii="Arial" w:hAnsi="Arial" w:cs="Arial"/>
                <w:b/>
                <w:bCs/>
                <w:color w:val="000000"/>
                <w:sz w:val="20"/>
                <w:szCs w:val="20"/>
                <w:lang w:eastAsia="es-ES"/>
              </w:rPr>
            </w:pPr>
            <w:r w:rsidRPr="00247964">
              <w:rPr>
                <w:rFonts w:ascii="Arial" w:hAnsi="Arial" w:cs="Arial"/>
                <w:b/>
                <w:bCs/>
                <w:color w:val="000000"/>
                <w:sz w:val="20"/>
                <w:szCs w:val="20"/>
                <w:lang w:eastAsia="es-ES"/>
              </w:rPr>
              <w:t>Expedientes</w:t>
            </w:r>
          </w:p>
        </w:tc>
      </w:tr>
      <w:tr w:rsidR="00255CDA" w:rsidRPr="00255CDA" w:rsidTr="00C45599">
        <w:trPr>
          <w:trHeight w:val="463"/>
          <w:jc w:val="center"/>
        </w:trPr>
        <w:tc>
          <w:tcPr>
            <w:tcW w:w="4773" w:type="dxa"/>
            <w:tcBorders>
              <w:top w:val="single" w:sz="4" w:space="0" w:color="7F7F7F"/>
              <w:left w:val="single" w:sz="8" w:space="0" w:color="5B9BD5"/>
              <w:bottom w:val="single" w:sz="4" w:space="0" w:color="7F7F7F"/>
              <w:right w:val="single" w:sz="8" w:space="0" w:color="5B9BD5"/>
            </w:tcBorders>
            <w:shd w:val="clear" w:color="auto" w:fill="auto"/>
            <w:noWrap/>
            <w:vAlign w:val="center"/>
            <w:hideMark/>
          </w:tcPr>
          <w:p w:rsidR="00255CDA" w:rsidRPr="00255CDA" w:rsidRDefault="00F019D1" w:rsidP="00D57F12">
            <w:pPr>
              <w:spacing w:after="0"/>
              <w:rPr>
                <w:rFonts w:ascii="Arial" w:hAnsi="Arial" w:cs="Arial"/>
                <w:bCs/>
                <w:color w:val="000000"/>
                <w:sz w:val="20"/>
                <w:szCs w:val="20"/>
                <w:lang w:eastAsia="es-ES"/>
              </w:rPr>
            </w:pPr>
            <w:r>
              <w:rPr>
                <w:rFonts w:ascii="Arial" w:hAnsi="Arial" w:cs="Arial"/>
                <w:bCs/>
                <w:color w:val="000000"/>
                <w:sz w:val="20"/>
                <w:szCs w:val="20"/>
                <w:lang w:eastAsia="es-ES"/>
              </w:rPr>
              <w:t>Reconocimiento</w:t>
            </w:r>
          </w:p>
        </w:tc>
        <w:tc>
          <w:tcPr>
            <w:tcW w:w="1523" w:type="dxa"/>
            <w:tcBorders>
              <w:top w:val="single" w:sz="4" w:space="0" w:color="7F7F7F"/>
              <w:left w:val="nil"/>
              <w:bottom w:val="single" w:sz="4" w:space="0" w:color="7F7F7F"/>
              <w:right w:val="single" w:sz="8" w:space="0" w:color="5B9BD5"/>
            </w:tcBorders>
            <w:shd w:val="clear" w:color="auto" w:fill="auto"/>
            <w:noWrap/>
            <w:vAlign w:val="center"/>
            <w:hideMark/>
          </w:tcPr>
          <w:p w:rsidR="00255CDA" w:rsidRPr="00255CDA" w:rsidRDefault="00F019D1" w:rsidP="00D57F12">
            <w:pPr>
              <w:spacing w:after="0"/>
              <w:jc w:val="center"/>
              <w:rPr>
                <w:rFonts w:ascii="Arial" w:hAnsi="Arial" w:cs="Arial"/>
                <w:bCs/>
                <w:color w:val="000000"/>
                <w:sz w:val="20"/>
                <w:szCs w:val="20"/>
                <w:lang w:eastAsia="es-ES"/>
              </w:rPr>
            </w:pPr>
            <w:r>
              <w:rPr>
                <w:rFonts w:ascii="Arial" w:hAnsi="Arial" w:cs="Arial"/>
                <w:bCs/>
                <w:color w:val="000000"/>
                <w:sz w:val="20"/>
                <w:szCs w:val="20"/>
                <w:lang w:eastAsia="es-ES"/>
              </w:rPr>
              <w:t>9</w:t>
            </w:r>
          </w:p>
        </w:tc>
      </w:tr>
      <w:tr w:rsidR="00255CDA" w:rsidRPr="00255CDA" w:rsidTr="00C45599">
        <w:trPr>
          <w:trHeight w:val="463"/>
          <w:jc w:val="center"/>
        </w:trPr>
        <w:tc>
          <w:tcPr>
            <w:tcW w:w="4773" w:type="dxa"/>
            <w:tcBorders>
              <w:top w:val="single" w:sz="4" w:space="0" w:color="7F7F7F"/>
              <w:left w:val="single" w:sz="4" w:space="0" w:color="7F7F7F"/>
              <w:bottom w:val="single" w:sz="4" w:space="0" w:color="7F7F7F"/>
              <w:right w:val="single" w:sz="4" w:space="0" w:color="7F7F7F"/>
            </w:tcBorders>
            <w:shd w:val="clear" w:color="auto" w:fill="ABE9FF"/>
            <w:noWrap/>
            <w:vAlign w:val="center"/>
            <w:hideMark/>
          </w:tcPr>
          <w:p w:rsidR="00255CDA" w:rsidRPr="00255CDA" w:rsidRDefault="00292586" w:rsidP="00D57F12">
            <w:pPr>
              <w:spacing w:after="0"/>
              <w:rPr>
                <w:rFonts w:ascii="Arial" w:hAnsi="Arial" w:cs="Arial"/>
                <w:bCs/>
                <w:color w:val="000000"/>
                <w:sz w:val="20"/>
                <w:szCs w:val="20"/>
                <w:lang w:eastAsia="es-ES"/>
              </w:rPr>
            </w:pPr>
            <w:r>
              <w:rPr>
                <w:rFonts w:ascii="Arial" w:hAnsi="Arial" w:cs="Arial"/>
                <w:bCs/>
                <w:color w:val="000000"/>
                <w:sz w:val="20"/>
                <w:szCs w:val="20"/>
                <w:lang w:eastAsia="es-ES"/>
              </w:rPr>
              <w:t>Reconocimiento</w:t>
            </w:r>
            <w:r w:rsidR="00F019D1">
              <w:rPr>
                <w:rFonts w:ascii="Arial" w:hAnsi="Arial" w:cs="Arial"/>
                <w:bCs/>
                <w:color w:val="000000"/>
                <w:sz w:val="20"/>
                <w:szCs w:val="20"/>
                <w:lang w:eastAsia="es-ES"/>
              </w:rPr>
              <w:t xml:space="preserve"> parcial</w:t>
            </w:r>
          </w:p>
        </w:tc>
        <w:tc>
          <w:tcPr>
            <w:tcW w:w="1523" w:type="dxa"/>
            <w:tcBorders>
              <w:top w:val="single" w:sz="4" w:space="0" w:color="7F7F7F"/>
              <w:left w:val="single" w:sz="4" w:space="0" w:color="7F7F7F"/>
              <w:bottom w:val="single" w:sz="4" w:space="0" w:color="7F7F7F"/>
              <w:right w:val="single" w:sz="4" w:space="0" w:color="7F7F7F"/>
            </w:tcBorders>
            <w:shd w:val="clear" w:color="auto" w:fill="ABE9FF"/>
            <w:noWrap/>
            <w:vAlign w:val="center"/>
            <w:hideMark/>
          </w:tcPr>
          <w:p w:rsidR="00255CDA" w:rsidRPr="00255CDA" w:rsidRDefault="00F019D1" w:rsidP="00D57F12">
            <w:pPr>
              <w:spacing w:after="0"/>
              <w:jc w:val="center"/>
              <w:rPr>
                <w:rFonts w:ascii="Arial" w:hAnsi="Arial" w:cs="Arial"/>
                <w:bCs/>
                <w:color w:val="000000"/>
                <w:sz w:val="20"/>
                <w:szCs w:val="20"/>
                <w:lang w:eastAsia="es-ES"/>
              </w:rPr>
            </w:pPr>
            <w:r>
              <w:rPr>
                <w:rFonts w:ascii="Arial" w:hAnsi="Arial" w:cs="Arial"/>
                <w:bCs/>
                <w:color w:val="000000"/>
                <w:sz w:val="20"/>
                <w:szCs w:val="20"/>
                <w:lang w:eastAsia="es-ES"/>
              </w:rPr>
              <w:t>2</w:t>
            </w:r>
          </w:p>
        </w:tc>
      </w:tr>
      <w:tr w:rsidR="00255CDA" w:rsidRPr="00255CDA" w:rsidTr="00C45599">
        <w:trPr>
          <w:trHeight w:val="463"/>
          <w:jc w:val="center"/>
        </w:trPr>
        <w:tc>
          <w:tcPr>
            <w:tcW w:w="4773" w:type="dxa"/>
            <w:tcBorders>
              <w:top w:val="single" w:sz="4" w:space="0" w:color="7F7F7F"/>
              <w:left w:val="single" w:sz="8" w:space="0" w:color="5B9BD5"/>
              <w:bottom w:val="single" w:sz="4" w:space="0" w:color="7F7F7F"/>
              <w:right w:val="single" w:sz="8" w:space="0" w:color="5B9BD5"/>
            </w:tcBorders>
            <w:shd w:val="clear" w:color="auto" w:fill="auto"/>
            <w:noWrap/>
            <w:vAlign w:val="center"/>
            <w:hideMark/>
          </w:tcPr>
          <w:p w:rsidR="00255CDA" w:rsidRPr="00255CDA" w:rsidRDefault="00F019D1" w:rsidP="00D57F12">
            <w:pPr>
              <w:spacing w:after="0"/>
              <w:rPr>
                <w:rFonts w:ascii="Arial" w:hAnsi="Arial" w:cs="Arial"/>
                <w:bCs/>
                <w:color w:val="000000"/>
                <w:sz w:val="20"/>
                <w:szCs w:val="20"/>
                <w:lang w:eastAsia="es-ES"/>
              </w:rPr>
            </w:pPr>
            <w:r>
              <w:rPr>
                <w:rFonts w:ascii="Arial" w:hAnsi="Arial" w:cs="Arial"/>
                <w:bCs/>
                <w:color w:val="000000"/>
                <w:sz w:val="20"/>
                <w:szCs w:val="20"/>
                <w:lang w:eastAsia="es-ES"/>
              </w:rPr>
              <w:t>Desistimiento</w:t>
            </w:r>
          </w:p>
        </w:tc>
        <w:tc>
          <w:tcPr>
            <w:tcW w:w="1523" w:type="dxa"/>
            <w:tcBorders>
              <w:top w:val="single" w:sz="4" w:space="0" w:color="7F7F7F"/>
              <w:left w:val="nil"/>
              <w:bottom w:val="single" w:sz="4" w:space="0" w:color="7F7F7F"/>
              <w:right w:val="single" w:sz="8" w:space="0" w:color="5B9BD5"/>
            </w:tcBorders>
            <w:shd w:val="clear" w:color="auto" w:fill="auto"/>
            <w:noWrap/>
            <w:vAlign w:val="center"/>
            <w:hideMark/>
          </w:tcPr>
          <w:p w:rsidR="00255CDA" w:rsidRPr="00255CDA" w:rsidRDefault="00255CDA" w:rsidP="00D57F12">
            <w:pPr>
              <w:spacing w:after="0"/>
              <w:jc w:val="center"/>
              <w:rPr>
                <w:rFonts w:ascii="Arial" w:hAnsi="Arial" w:cs="Arial"/>
                <w:bCs/>
                <w:color w:val="000000"/>
                <w:sz w:val="20"/>
                <w:szCs w:val="20"/>
                <w:lang w:eastAsia="es-ES"/>
              </w:rPr>
            </w:pPr>
            <w:r w:rsidRPr="00255CDA">
              <w:rPr>
                <w:rFonts w:ascii="Arial" w:hAnsi="Arial" w:cs="Arial"/>
                <w:bCs/>
                <w:color w:val="000000"/>
                <w:sz w:val="20"/>
                <w:szCs w:val="20"/>
                <w:lang w:eastAsia="es-ES"/>
              </w:rPr>
              <w:t>2</w:t>
            </w:r>
          </w:p>
        </w:tc>
      </w:tr>
      <w:tr w:rsidR="00255CDA" w:rsidRPr="00255CDA" w:rsidTr="00C45599">
        <w:trPr>
          <w:trHeight w:val="463"/>
          <w:jc w:val="center"/>
        </w:trPr>
        <w:tc>
          <w:tcPr>
            <w:tcW w:w="4773" w:type="dxa"/>
            <w:tcBorders>
              <w:top w:val="single" w:sz="4" w:space="0" w:color="7F7F7F"/>
              <w:left w:val="single" w:sz="4" w:space="0" w:color="7F7F7F"/>
              <w:bottom w:val="single" w:sz="4" w:space="0" w:color="7F7F7F"/>
              <w:right w:val="single" w:sz="4" w:space="0" w:color="7F7F7F"/>
            </w:tcBorders>
            <w:shd w:val="clear" w:color="auto" w:fill="ABE9FF"/>
            <w:noWrap/>
            <w:vAlign w:val="center"/>
            <w:hideMark/>
          </w:tcPr>
          <w:p w:rsidR="00255CDA" w:rsidRPr="00255CDA" w:rsidRDefault="00292586" w:rsidP="00D57F12">
            <w:pPr>
              <w:spacing w:after="0"/>
              <w:rPr>
                <w:rFonts w:ascii="Arial" w:hAnsi="Arial" w:cs="Arial"/>
                <w:bCs/>
                <w:color w:val="000000"/>
                <w:sz w:val="20"/>
                <w:szCs w:val="20"/>
                <w:lang w:eastAsia="es-ES"/>
              </w:rPr>
            </w:pPr>
            <w:r>
              <w:rPr>
                <w:rFonts w:ascii="Arial" w:hAnsi="Arial" w:cs="Arial"/>
                <w:bCs/>
                <w:color w:val="000000"/>
                <w:sz w:val="20"/>
                <w:szCs w:val="20"/>
                <w:lang w:eastAsia="es-ES"/>
              </w:rPr>
              <w:t>Traslado a otra AP/Organismo</w:t>
            </w:r>
          </w:p>
        </w:tc>
        <w:tc>
          <w:tcPr>
            <w:tcW w:w="1523" w:type="dxa"/>
            <w:tcBorders>
              <w:top w:val="single" w:sz="4" w:space="0" w:color="7F7F7F"/>
              <w:left w:val="single" w:sz="4" w:space="0" w:color="7F7F7F"/>
              <w:bottom w:val="single" w:sz="4" w:space="0" w:color="7F7F7F"/>
              <w:right w:val="single" w:sz="4" w:space="0" w:color="7F7F7F"/>
            </w:tcBorders>
            <w:shd w:val="clear" w:color="auto" w:fill="ABE9FF"/>
            <w:noWrap/>
            <w:vAlign w:val="center"/>
            <w:hideMark/>
          </w:tcPr>
          <w:p w:rsidR="00255CDA" w:rsidRPr="00255CDA" w:rsidRDefault="00255CDA" w:rsidP="00D57F12">
            <w:pPr>
              <w:spacing w:after="0"/>
              <w:jc w:val="center"/>
              <w:rPr>
                <w:rFonts w:ascii="Arial" w:hAnsi="Arial" w:cs="Arial"/>
                <w:bCs/>
                <w:color w:val="000000"/>
                <w:sz w:val="20"/>
                <w:szCs w:val="20"/>
                <w:lang w:eastAsia="es-ES"/>
              </w:rPr>
            </w:pPr>
            <w:r w:rsidRPr="00255CDA">
              <w:rPr>
                <w:rFonts w:ascii="Arial" w:hAnsi="Arial" w:cs="Arial"/>
                <w:bCs/>
                <w:color w:val="000000"/>
                <w:sz w:val="20"/>
                <w:szCs w:val="20"/>
                <w:lang w:eastAsia="es-ES"/>
              </w:rPr>
              <w:t>1</w:t>
            </w:r>
          </w:p>
        </w:tc>
      </w:tr>
      <w:tr w:rsidR="00255CDA" w:rsidRPr="00255CDA" w:rsidTr="00C45599">
        <w:trPr>
          <w:trHeight w:val="463"/>
          <w:jc w:val="center"/>
        </w:trPr>
        <w:tc>
          <w:tcPr>
            <w:tcW w:w="4773" w:type="dxa"/>
            <w:tcBorders>
              <w:top w:val="single" w:sz="4" w:space="0" w:color="7F7F7F"/>
              <w:left w:val="single" w:sz="8" w:space="0" w:color="5B9BD5"/>
              <w:bottom w:val="single" w:sz="8" w:space="0" w:color="5B9BD5"/>
              <w:right w:val="single" w:sz="8" w:space="0" w:color="5B9BD5"/>
            </w:tcBorders>
            <w:shd w:val="clear" w:color="auto" w:fill="auto"/>
            <w:noWrap/>
            <w:vAlign w:val="center"/>
            <w:hideMark/>
          </w:tcPr>
          <w:p w:rsidR="00255CDA" w:rsidRPr="00292586" w:rsidRDefault="00255CDA" w:rsidP="00D57F12">
            <w:pPr>
              <w:spacing w:after="0"/>
              <w:rPr>
                <w:rFonts w:ascii="Arial" w:hAnsi="Arial" w:cs="Arial"/>
                <w:b/>
                <w:color w:val="000000"/>
                <w:sz w:val="20"/>
                <w:szCs w:val="20"/>
                <w:lang w:eastAsia="es-ES"/>
              </w:rPr>
            </w:pPr>
            <w:r w:rsidRPr="00292586">
              <w:rPr>
                <w:rFonts w:ascii="Arial" w:hAnsi="Arial" w:cs="Arial"/>
                <w:b/>
                <w:color w:val="000000"/>
                <w:sz w:val="20"/>
                <w:szCs w:val="20"/>
                <w:lang w:eastAsia="es-ES"/>
              </w:rPr>
              <w:t>Total general</w:t>
            </w:r>
          </w:p>
        </w:tc>
        <w:tc>
          <w:tcPr>
            <w:tcW w:w="1523" w:type="dxa"/>
            <w:tcBorders>
              <w:top w:val="single" w:sz="4" w:space="0" w:color="7F7F7F"/>
              <w:left w:val="nil"/>
              <w:bottom w:val="single" w:sz="8" w:space="0" w:color="5B9BD5"/>
              <w:right w:val="single" w:sz="8" w:space="0" w:color="5B9BD5"/>
            </w:tcBorders>
            <w:shd w:val="clear" w:color="auto" w:fill="auto"/>
            <w:noWrap/>
            <w:vAlign w:val="center"/>
            <w:hideMark/>
          </w:tcPr>
          <w:p w:rsidR="00255CDA" w:rsidRPr="00292586" w:rsidRDefault="00255CDA" w:rsidP="00D57F12">
            <w:pPr>
              <w:spacing w:after="0"/>
              <w:jc w:val="center"/>
              <w:rPr>
                <w:rFonts w:ascii="Arial" w:hAnsi="Arial" w:cs="Arial"/>
                <w:b/>
                <w:color w:val="000000"/>
                <w:sz w:val="20"/>
                <w:szCs w:val="20"/>
                <w:lang w:eastAsia="es-ES"/>
              </w:rPr>
            </w:pPr>
            <w:r w:rsidRPr="00292586">
              <w:rPr>
                <w:rFonts w:ascii="Arial" w:hAnsi="Arial" w:cs="Arial"/>
                <w:b/>
                <w:color w:val="000000"/>
                <w:sz w:val="20"/>
                <w:szCs w:val="20"/>
                <w:lang w:eastAsia="es-ES"/>
              </w:rPr>
              <w:t>14</w:t>
            </w:r>
          </w:p>
        </w:tc>
      </w:tr>
    </w:tbl>
    <w:p w:rsidR="00255CDA" w:rsidRPr="00255CDA" w:rsidRDefault="00255CDA" w:rsidP="00255CDA">
      <w:pPr>
        <w:pStyle w:val="Textodeprrafo"/>
        <w:rPr>
          <w:color w:val="231F20"/>
        </w:rPr>
      </w:pPr>
    </w:p>
    <w:p w:rsidR="00255CDA" w:rsidRPr="00247964" w:rsidRDefault="00255CDA" w:rsidP="00255CDA">
      <w:pPr>
        <w:pStyle w:val="Textodeprrafo"/>
        <w:rPr>
          <w:color w:val="231F20"/>
          <w:sz w:val="22"/>
          <w:szCs w:val="22"/>
        </w:rPr>
      </w:pPr>
      <w:r w:rsidRPr="00247964">
        <w:rPr>
          <w:color w:val="231F20"/>
          <w:sz w:val="22"/>
          <w:szCs w:val="22"/>
        </w:rPr>
        <w:t>Un 79</w:t>
      </w:r>
      <w:r w:rsidR="00247964" w:rsidRPr="00247964">
        <w:rPr>
          <w:color w:val="231F20"/>
          <w:sz w:val="22"/>
          <w:szCs w:val="22"/>
        </w:rPr>
        <w:t> </w:t>
      </w:r>
      <w:r w:rsidRPr="00247964">
        <w:rPr>
          <w:color w:val="231F20"/>
          <w:sz w:val="22"/>
          <w:szCs w:val="22"/>
        </w:rPr>
        <w:t xml:space="preserve">% de las resoluciones dictadas por este centro directivo se han resuelto favorablemente, y en ningún caso se ha denegado o inadmitido alguna solicitud. </w:t>
      </w:r>
    </w:p>
    <w:p w:rsidR="00255CDA" w:rsidRPr="00255CDA" w:rsidRDefault="00255CDA" w:rsidP="00255CDA">
      <w:pPr>
        <w:pStyle w:val="Textodeprrafo"/>
        <w:rPr>
          <w:color w:val="231F20"/>
        </w:rPr>
      </w:pPr>
    </w:p>
    <w:p w:rsidR="00255CDA" w:rsidRPr="00255CDA" w:rsidRDefault="00255CDA" w:rsidP="006362E2">
      <w:pPr>
        <w:pStyle w:val="Ttulo2"/>
        <w:numPr>
          <w:ilvl w:val="1"/>
          <w:numId w:val="16"/>
        </w:numPr>
        <w:ind w:left="567" w:hanging="567"/>
        <w:rPr>
          <w:rFonts w:ascii="Arial" w:hAnsi="Arial" w:cs="Arial"/>
          <w:color w:val="2F5496"/>
          <w:sz w:val="24"/>
          <w:szCs w:val="24"/>
        </w:rPr>
      </w:pPr>
      <w:bookmarkStart w:id="104" w:name="_Toc64153857"/>
      <w:bookmarkStart w:id="105" w:name="_Toc64314680"/>
      <w:r w:rsidRPr="00255CDA">
        <w:rPr>
          <w:rFonts w:ascii="Arial" w:hAnsi="Arial" w:cs="Arial"/>
          <w:color w:val="2F5496"/>
          <w:sz w:val="24"/>
          <w:szCs w:val="24"/>
        </w:rPr>
        <w:t xml:space="preserve">Reclamaciones presentadas contra resoluciones de acceso </w:t>
      </w:r>
      <w:r w:rsidR="002D50C9">
        <w:rPr>
          <w:rFonts w:ascii="Arial" w:hAnsi="Arial" w:cs="Arial"/>
          <w:color w:val="2F5496"/>
          <w:sz w:val="24"/>
          <w:szCs w:val="24"/>
        </w:rPr>
        <w:t>a la</w:t>
      </w:r>
      <w:r w:rsidRPr="00255CDA">
        <w:rPr>
          <w:rFonts w:ascii="Arial" w:hAnsi="Arial" w:cs="Arial"/>
          <w:color w:val="2F5496"/>
          <w:sz w:val="24"/>
          <w:szCs w:val="24"/>
        </w:rPr>
        <w:t xml:space="preserve"> información.</w:t>
      </w:r>
      <w:bookmarkEnd w:id="104"/>
      <w:bookmarkEnd w:id="105"/>
    </w:p>
    <w:p w:rsidR="00F019D1" w:rsidRDefault="00255CDA" w:rsidP="00255CDA">
      <w:pPr>
        <w:pStyle w:val="Textodeprrafo"/>
        <w:rPr>
          <w:rStyle w:val="Textoennegrita"/>
          <w:b w:val="0"/>
          <w:sz w:val="22"/>
          <w:szCs w:val="22"/>
        </w:rPr>
      </w:pPr>
      <w:r w:rsidRPr="00247964">
        <w:rPr>
          <w:rStyle w:val="Textoennegrita"/>
          <w:b w:val="0"/>
          <w:sz w:val="22"/>
          <w:szCs w:val="22"/>
        </w:rPr>
        <w:t>A lo largo de 2022 se presentaron 106 reclamaciones, muy cerca del número de reclamaciones presentadas en 2021 (117). La disminución del número de reclamaciones guarda proporcionalidad con la disminución del número de solicitudes recibidas.</w:t>
      </w:r>
    </w:p>
    <w:p w:rsidR="00F019D1" w:rsidRDefault="00F019D1">
      <w:pPr>
        <w:rPr>
          <w:rStyle w:val="Textoennegrita"/>
          <w:rFonts w:ascii="Arial" w:eastAsia="SimSun" w:hAnsi="Arial" w:cs="Arial"/>
          <w:b w:val="0"/>
          <w:kern w:val="3"/>
          <w:lang w:eastAsia="zh-CN" w:bidi="hi-IN"/>
        </w:rPr>
      </w:pPr>
      <w:r>
        <w:rPr>
          <w:rStyle w:val="Textoennegrita"/>
          <w:b w:val="0"/>
        </w:rPr>
        <w:br w:type="page"/>
      </w:r>
    </w:p>
    <w:p w:rsidR="00255CDA" w:rsidRPr="00247964" w:rsidRDefault="00255CDA" w:rsidP="00255CDA">
      <w:pPr>
        <w:pStyle w:val="Textodeprrafo"/>
        <w:rPr>
          <w:rStyle w:val="Textoennegrita"/>
          <w:b w:val="0"/>
          <w:sz w:val="22"/>
          <w:szCs w:val="22"/>
        </w:rPr>
      </w:pPr>
      <w:r w:rsidRPr="00247964">
        <w:rPr>
          <w:rStyle w:val="Textoennegrita"/>
          <w:b w:val="0"/>
          <w:sz w:val="22"/>
          <w:szCs w:val="22"/>
        </w:rPr>
        <w:lastRenderedPageBreak/>
        <w:t>En porcentaje respecto al total de solicitudes recibidas, Educación y Medio Ambiente destaca</w:t>
      </w:r>
      <w:r w:rsidR="00247964">
        <w:rPr>
          <w:rStyle w:val="Textoennegrita"/>
          <w:b w:val="0"/>
          <w:sz w:val="22"/>
          <w:szCs w:val="22"/>
        </w:rPr>
        <w:t>n sobre el resto de c</w:t>
      </w:r>
      <w:r w:rsidRPr="00247964">
        <w:rPr>
          <w:rStyle w:val="Textoennegrita"/>
          <w:b w:val="0"/>
          <w:sz w:val="22"/>
          <w:szCs w:val="22"/>
        </w:rPr>
        <w:t>onsejerías. Es destacable la disminución en porcentaje y número de reclamaciones presentadas por resoluciones de la Consejería de Sanidad.</w:t>
      </w:r>
    </w:p>
    <w:p w:rsidR="00255CDA" w:rsidRPr="00255CDA" w:rsidRDefault="00255CDA" w:rsidP="00255CDA">
      <w:pPr>
        <w:pStyle w:val="Textodeprrafo"/>
        <w:rPr>
          <w:rStyle w:val="Textoennegrita"/>
          <w:b w:val="0"/>
          <w:color w:val="212121"/>
          <w:szCs w:val="20"/>
        </w:rPr>
      </w:pPr>
    </w:p>
    <w:p w:rsidR="00255CDA" w:rsidRPr="00255CDA" w:rsidRDefault="00255CDA" w:rsidP="00255CDA">
      <w:pPr>
        <w:pStyle w:val="Subttulo"/>
        <w:spacing w:before="0" w:line="20" w:lineRule="atLeast"/>
        <w:rPr>
          <w:rFonts w:cs="Arial"/>
          <w:color w:val="2F5496"/>
        </w:rPr>
      </w:pPr>
      <w:bookmarkStart w:id="106" w:name="_Toc64153858"/>
      <w:bookmarkStart w:id="107" w:name="_Toc64314681"/>
      <w:r w:rsidRPr="00255CDA">
        <w:rPr>
          <w:rFonts w:cs="Arial"/>
          <w:color w:val="2F5496"/>
        </w:rPr>
        <w:t xml:space="preserve">Tabla </w:t>
      </w:r>
      <w:r w:rsidR="005A57C4">
        <w:rPr>
          <w:rFonts w:cs="Arial"/>
          <w:color w:val="2F5496"/>
        </w:rPr>
        <w:t>3.</w:t>
      </w:r>
      <w:r w:rsidRPr="00255CDA">
        <w:rPr>
          <w:rFonts w:cs="Arial"/>
          <w:color w:val="2F5496"/>
        </w:rPr>
        <w:t>4. Reclamaciones presentadas ante s</w:t>
      </w:r>
      <w:r w:rsidR="0014226A">
        <w:rPr>
          <w:rFonts w:cs="Arial"/>
          <w:color w:val="2F5496"/>
        </w:rPr>
        <w:t>olicitudes gestionadas por las c</w:t>
      </w:r>
      <w:r w:rsidRPr="00255CDA">
        <w:rPr>
          <w:rFonts w:cs="Arial"/>
          <w:color w:val="2F5496"/>
        </w:rPr>
        <w:t>onsejerías</w:t>
      </w:r>
      <w:bookmarkEnd w:id="106"/>
      <w:bookmarkEnd w:id="107"/>
    </w:p>
    <w:tbl>
      <w:tblPr>
        <w:tblW w:w="9062" w:type="dxa"/>
        <w:jc w:val="center"/>
        <w:tblCellMar>
          <w:left w:w="70" w:type="dxa"/>
          <w:right w:w="70" w:type="dxa"/>
        </w:tblCellMar>
        <w:tblLook w:val="04A0" w:firstRow="1" w:lastRow="0" w:firstColumn="1" w:lastColumn="0" w:noHBand="0" w:noVBand="1"/>
      </w:tblPr>
      <w:tblGrid>
        <w:gridCol w:w="3552"/>
        <w:gridCol w:w="2434"/>
        <w:gridCol w:w="1629"/>
        <w:gridCol w:w="1447"/>
      </w:tblGrid>
      <w:tr w:rsidR="00255CDA" w:rsidRPr="00255CDA" w:rsidTr="00C45599">
        <w:trPr>
          <w:trHeight w:val="318"/>
          <w:jc w:val="center"/>
        </w:trPr>
        <w:tc>
          <w:tcPr>
            <w:tcW w:w="3552" w:type="dxa"/>
            <w:tcBorders>
              <w:top w:val="single" w:sz="4" w:space="0" w:color="7F7F7F"/>
              <w:left w:val="single" w:sz="4" w:space="0" w:color="7F7F7F"/>
              <w:bottom w:val="single" w:sz="4" w:space="0" w:color="7F7F7F"/>
              <w:right w:val="single" w:sz="4" w:space="0" w:color="7F7F7F"/>
            </w:tcBorders>
            <w:shd w:val="clear" w:color="auto" w:fill="ABE9FF"/>
            <w:noWrap/>
            <w:vAlign w:val="center"/>
            <w:hideMark/>
          </w:tcPr>
          <w:p w:rsidR="00255CDA" w:rsidRPr="00247964" w:rsidRDefault="00255CDA" w:rsidP="00D57F12">
            <w:pPr>
              <w:spacing w:before="80" w:after="80"/>
              <w:rPr>
                <w:rFonts w:ascii="Arial" w:hAnsi="Arial" w:cs="Arial"/>
                <w:b/>
                <w:bCs/>
                <w:color w:val="000000"/>
                <w:sz w:val="20"/>
                <w:szCs w:val="20"/>
                <w:lang w:eastAsia="es-ES"/>
              </w:rPr>
            </w:pPr>
            <w:r w:rsidRPr="00247964">
              <w:rPr>
                <w:rFonts w:ascii="Arial" w:hAnsi="Arial" w:cs="Arial"/>
                <w:b/>
                <w:bCs/>
                <w:color w:val="000000"/>
                <w:sz w:val="20"/>
                <w:szCs w:val="20"/>
                <w:lang w:eastAsia="es-ES"/>
              </w:rPr>
              <w:t>Consejería</w:t>
            </w:r>
          </w:p>
        </w:tc>
        <w:tc>
          <w:tcPr>
            <w:tcW w:w="2434" w:type="dxa"/>
            <w:tcBorders>
              <w:top w:val="single" w:sz="4" w:space="0" w:color="7F7F7F"/>
              <w:left w:val="single" w:sz="4" w:space="0" w:color="7F7F7F"/>
              <w:bottom w:val="single" w:sz="4" w:space="0" w:color="7F7F7F"/>
              <w:right w:val="single" w:sz="4" w:space="0" w:color="7F7F7F"/>
            </w:tcBorders>
            <w:shd w:val="clear" w:color="auto" w:fill="ABE9FF"/>
            <w:noWrap/>
            <w:vAlign w:val="center"/>
            <w:hideMark/>
          </w:tcPr>
          <w:p w:rsidR="00255CDA" w:rsidRPr="00247964" w:rsidRDefault="00255CDA" w:rsidP="00D57F12">
            <w:pPr>
              <w:spacing w:before="80" w:after="80"/>
              <w:jc w:val="center"/>
              <w:rPr>
                <w:rFonts w:ascii="Arial" w:hAnsi="Arial" w:cs="Arial"/>
                <w:b/>
                <w:bCs/>
                <w:color w:val="000000"/>
                <w:sz w:val="20"/>
                <w:szCs w:val="20"/>
                <w:lang w:eastAsia="es-ES"/>
              </w:rPr>
            </w:pPr>
            <w:r w:rsidRPr="00247964">
              <w:rPr>
                <w:rFonts w:ascii="Arial" w:hAnsi="Arial" w:cs="Arial"/>
                <w:b/>
                <w:bCs/>
                <w:color w:val="000000"/>
                <w:sz w:val="20"/>
                <w:szCs w:val="20"/>
                <w:lang w:eastAsia="es-ES"/>
              </w:rPr>
              <w:t>Número</w:t>
            </w:r>
          </w:p>
        </w:tc>
        <w:tc>
          <w:tcPr>
            <w:tcW w:w="1629" w:type="dxa"/>
            <w:tcBorders>
              <w:top w:val="single" w:sz="4" w:space="0" w:color="7F7F7F"/>
              <w:left w:val="single" w:sz="4" w:space="0" w:color="7F7F7F"/>
              <w:bottom w:val="single" w:sz="4" w:space="0" w:color="7F7F7F"/>
              <w:right w:val="single" w:sz="4" w:space="0" w:color="7F7F7F"/>
            </w:tcBorders>
            <w:shd w:val="clear" w:color="auto" w:fill="ABE9FF"/>
            <w:noWrap/>
            <w:vAlign w:val="center"/>
            <w:hideMark/>
          </w:tcPr>
          <w:p w:rsidR="00255CDA" w:rsidRPr="00247964" w:rsidRDefault="00255CDA" w:rsidP="00D57F12">
            <w:pPr>
              <w:spacing w:before="80" w:after="80"/>
              <w:jc w:val="center"/>
              <w:rPr>
                <w:rFonts w:ascii="Arial" w:hAnsi="Arial" w:cs="Arial"/>
                <w:b/>
                <w:bCs/>
                <w:color w:val="000000"/>
                <w:sz w:val="20"/>
                <w:szCs w:val="20"/>
                <w:lang w:eastAsia="es-ES"/>
              </w:rPr>
            </w:pPr>
            <w:r w:rsidRPr="00247964">
              <w:rPr>
                <w:rFonts w:ascii="Arial" w:hAnsi="Arial" w:cs="Arial"/>
                <w:b/>
                <w:bCs/>
                <w:color w:val="000000"/>
                <w:sz w:val="20"/>
                <w:szCs w:val="20"/>
                <w:lang w:eastAsia="es-ES"/>
              </w:rPr>
              <w:t>% respecto solicitudes</w:t>
            </w:r>
          </w:p>
        </w:tc>
        <w:tc>
          <w:tcPr>
            <w:tcW w:w="1447" w:type="dxa"/>
            <w:tcBorders>
              <w:top w:val="single" w:sz="4" w:space="0" w:color="7F7F7F"/>
              <w:left w:val="single" w:sz="4" w:space="0" w:color="7F7F7F"/>
              <w:bottom w:val="single" w:sz="4" w:space="0" w:color="7F7F7F"/>
              <w:right w:val="single" w:sz="4" w:space="0" w:color="7F7F7F"/>
            </w:tcBorders>
            <w:shd w:val="clear" w:color="auto" w:fill="ABE9FF"/>
            <w:noWrap/>
            <w:vAlign w:val="center"/>
            <w:hideMark/>
          </w:tcPr>
          <w:p w:rsidR="00255CDA" w:rsidRPr="00247964" w:rsidRDefault="00255CDA" w:rsidP="00D57F12">
            <w:pPr>
              <w:spacing w:before="80" w:after="80"/>
              <w:jc w:val="center"/>
              <w:rPr>
                <w:rFonts w:ascii="Arial" w:hAnsi="Arial" w:cs="Arial"/>
                <w:b/>
                <w:bCs/>
                <w:color w:val="000000"/>
                <w:sz w:val="20"/>
                <w:szCs w:val="20"/>
                <w:lang w:eastAsia="es-ES"/>
              </w:rPr>
            </w:pPr>
            <w:r w:rsidRPr="00247964">
              <w:rPr>
                <w:rFonts w:ascii="Arial" w:hAnsi="Arial" w:cs="Arial"/>
                <w:b/>
                <w:bCs/>
                <w:color w:val="000000"/>
                <w:sz w:val="20"/>
                <w:szCs w:val="20"/>
                <w:lang w:eastAsia="es-ES"/>
              </w:rPr>
              <w:t>Solicitudes</w:t>
            </w:r>
          </w:p>
        </w:tc>
      </w:tr>
      <w:tr w:rsidR="00255CDA" w:rsidRPr="00255CDA" w:rsidTr="00C45599">
        <w:trPr>
          <w:trHeight w:val="318"/>
          <w:jc w:val="center"/>
        </w:trPr>
        <w:tc>
          <w:tcPr>
            <w:tcW w:w="3552" w:type="dxa"/>
            <w:tcBorders>
              <w:top w:val="single" w:sz="4" w:space="0" w:color="7F7F7F"/>
              <w:left w:val="single" w:sz="8" w:space="0" w:color="5B9BD5"/>
              <w:bottom w:val="single" w:sz="4" w:space="0" w:color="7F7F7F"/>
              <w:right w:val="single" w:sz="8" w:space="0" w:color="5B9BD5"/>
            </w:tcBorders>
            <w:shd w:val="clear" w:color="auto" w:fill="auto"/>
            <w:noWrap/>
            <w:vAlign w:val="center"/>
            <w:hideMark/>
          </w:tcPr>
          <w:p w:rsidR="00255CDA" w:rsidRPr="00255CDA" w:rsidRDefault="00C45599" w:rsidP="00D57F12">
            <w:pPr>
              <w:spacing w:before="80" w:after="80"/>
              <w:rPr>
                <w:rFonts w:ascii="Arial" w:hAnsi="Arial" w:cs="Arial"/>
                <w:bCs/>
                <w:color w:val="000000"/>
                <w:sz w:val="20"/>
                <w:szCs w:val="20"/>
                <w:lang w:eastAsia="es-ES"/>
              </w:rPr>
            </w:pPr>
            <w:r>
              <w:rPr>
                <w:rFonts w:ascii="Arial" w:hAnsi="Arial" w:cs="Arial"/>
                <w:bCs/>
                <w:color w:val="000000"/>
                <w:sz w:val="20"/>
                <w:szCs w:val="20"/>
                <w:lang w:eastAsia="es-ES"/>
              </w:rPr>
              <w:t xml:space="preserve">Educación, Universidades y </w:t>
            </w:r>
            <w:r w:rsidR="00255CDA" w:rsidRPr="00255CDA">
              <w:rPr>
                <w:rFonts w:ascii="Arial" w:hAnsi="Arial" w:cs="Arial"/>
                <w:bCs/>
                <w:color w:val="000000"/>
                <w:sz w:val="20"/>
                <w:szCs w:val="20"/>
                <w:lang w:eastAsia="es-ES"/>
              </w:rPr>
              <w:t>Ciencia</w:t>
            </w:r>
          </w:p>
        </w:tc>
        <w:tc>
          <w:tcPr>
            <w:tcW w:w="2434" w:type="dxa"/>
            <w:tcBorders>
              <w:top w:val="single" w:sz="4" w:space="0" w:color="7F7F7F"/>
              <w:left w:val="nil"/>
              <w:bottom w:val="single" w:sz="4" w:space="0" w:color="7F7F7F"/>
              <w:right w:val="single" w:sz="8" w:space="0" w:color="5B9BD5"/>
            </w:tcBorders>
            <w:shd w:val="clear" w:color="auto" w:fill="auto"/>
            <w:noWrap/>
            <w:vAlign w:val="center"/>
            <w:hideMark/>
          </w:tcPr>
          <w:p w:rsidR="00255CDA" w:rsidRPr="00255CDA" w:rsidRDefault="00255CDA" w:rsidP="00D57F12">
            <w:pPr>
              <w:spacing w:before="80" w:after="80"/>
              <w:jc w:val="center"/>
              <w:rPr>
                <w:rFonts w:ascii="Arial" w:hAnsi="Arial" w:cs="Arial"/>
                <w:bCs/>
                <w:color w:val="000000"/>
                <w:sz w:val="20"/>
                <w:szCs w:val="20"/>
                <w:lang w:eastAsia="es-ES"/>
              </w:rPr>
            </w:pPr>
            <w:r w:rsidRPr="00255CDA">
              <w:rPr>
                <w:rFonts w:ascii="Arial" w:hAnsi="Arial" w:cs="Arial"/>
                <w:bCs/>
                <w:color w:val="000000"/>
                <w:sz w:val="20"/>
                <w:szCs w:val="20"/>
                <w:lang w:eastAsia="es-ES"/>
              </w:rPr>
              <w:t>38</w:t>
            </w:r>
          </w:p>
        </w:tc>
        <w:tc>
          <w:tcPr>
            <w:tcW w:w="1629" w:type="dxa"/>
            <w:tcBorders>
              <w:top w:val="single" w:sz="4" w:space="0" w:color="7F7F7F"/>
              <w:left w:val="nil"/>
              <w:bottom w:val="single" w:sz="4" w:space="0" w:color="7F7F7F"/>
              <w:right w:val="single" w:sz="8" w:space="0" w:color="5B9BD5"/>
            </w:tcBorders>
            <w:shd w:val="clear" w:color="auto" w:fill="auto"/>
            <w:noWrap/>
            <w:vAlign w:val="center"/>
            <w:hideMark/>
          </w:tcPr>
          <w:p w:rsidR="00255CDA" w:rsidRPr="00255CDA" w:rsidRDefault="00255CDA" w:rsidP="00D57F12">
            <w:pPr>
              <w:spacing w:before="80" w:after="80"/>
              <w:jc w:val="center"/>
              <w:rPr>
                <w:rFonts w:ascii="Arial" w:hAnsi="Arial" w:cs="Arial"/>
                <w:bCs/>
                <w:color w:val="000000"/>
                <w:sz w:val="20"/>
                <w:szCs w:val="20"/>
                <w:lang w:eastAsia="es-ES"/>
              </w:rPr>
            </w:pPr>
            <w:r w:rsidRPr="00255CDA">
              <w:rPr>
                <w:rFonts w:ascii="Arial" w:hAnsi="Arial" w:cs="Arial"/>
                <w:bCs/>
                <w:color w:val="000000"/>
                <w:sz w:val="20"/>
                <w:szCs w:val="20"/>
                <w:lang w:eastAsia="es-ES"/>
              </w:rPr>
              <w:t>16,52</w:t>
            </w:r>
          </w:p>
        </w:tc>
        <w:tc>
          <w:tcPr>
            <w:tcW w:w="1447" w:type="dxa"/>
            <w:tcBorders>
              <w:top w:val="single" w:sz="4" w:space="0" w:color="7F7F7F"/>
              <w:left w:val="nil"/>
              <w:bottom w:val="single" w:sz="4" w:space="0" w:color="7F7F7F"/>
              <w:right w:val="single" w:sz="8" w:space="0" w:color="5B9BD5"/>
            </w:tcBorders>
            <w:shd w:val="clear" w:color="auto" w:fill="auto"/>
            <w:noWrap/>
            <w:vAlign w:val="center"/>
            <w:hideMark/>
          </w:tcPr>
          <w:p w:rsidR="00255CDA" w:rsidRPr="00255CDA" w:rsidRDefault="00255CDA" w:rsidP="00D57F12">
            <w:pPr>
              <w:spacing w:before="80" w:after="80"/>
              <w:jc w:val="center"/>
              <w:rPr>
                <w:rFonts w:ascii="Arial" w:hAnsi="Arial" w:cs="Arial"/>
                <w:bCs/>
                <w:color w:val="000000"/>
                <w:sz w:val="20"/>
                <w:szCs w:val="20"/>
                <w:lang w:eastAsia="es-ES"/>
              </w:rPr>
            </w:pPr>
            <w:r w:rsidRPr="00255CDA">
              <w:rPr>
                <w:rFonts w:ascii="Arial" w:hAnsi="Arial" w:cs="Arial"/>
                <w:bCs/>
                <w:color w:val="000000"/>
                <w:sz w:val="20"/>
                <w:szCs w:val="20"/>
                <w:lang w:eastAsia="es-ES"/>
              </w:rPr>
              <w:t>230</w:t>
            </w:r>
          </w:p>
        </w:tc>
      </w:tr>
      <w:tr w:rsidR="00255CDA" w:rsidRPr="00255CDA" w:rsidTr="00C45599">
        <w:trPr>
          <w:trHeight w:val="318"/>
          <w:jc w:val="center"/>
        </w:trPr>
        <w:tc>
          <w:tcPr>
            <w:tcW w:w="3552" w:type="dxa"/>
            <w:tcBorders>
              <w:top w:val="single" w:sz="4" w:space="0" w:color="7F7F7F"/>
              <w:left w:val="single" w:sz="4" w:space="0" w:color="7F7F7F"/>
              <w:bottom w:val="single" w:sz="4" w:space="0" w:color="7F7F7F"/>
              <w:right w:val="single" w:sz="4" w:space="0" w:color="7F7F7F"/>
            </w:tcBorders>
            <w:shd w:val="clear" w:color="auto" w:fill="ABE9FF"/>
            <w:noWrap/>
            <w:vAlign w:val="center"/>
            <w:hideMark/>
          </w:tcPr>
          <w:p w:rsidR="00255CDA" w:rsidRPr="00255CDA" w:rsidRDefault="00255CDA" w:rsidP="00D57F12">
            <w:pPr>
              <w:spacing w:before="80" w:after="80"/>
              <w:rPr>
                <w:rFonts w:ascii="Arial" w:hAnsi="Arial" w:cs="Arial"/>
                <w:bCs/>
                <w:color w:val="000000"/>
                <w:sz w:val="20"/>
                <w:szCs w:val="20"/>
                <w:lang w:eastAsia="es-ES"/>
              </w:rPr>
            </w:pPr>
            <w:r w:rsidRPr="00255CDA">
              <w:rPr>
                <w:rFonts w:ascii="Arial" w:hAnsi="Arial" w:cs="Arial"/>
                <w:bCs/>
                <w:color w:val="000000"/>
                <w:sz w:val="20"/>
                <w:szCs w:val="20"/>
                <w:lang w:eastAsia="es-ES"/>
              </w:rPr>
              <w:t>Sanidad</w:t>
            </w:r>
          </w:p>
        </w:tc>
        <w:tc>
          <w:tcPr>
            <w:tcW w:w="2434" w:type="dxa"/>
            <w:tcBorders>
              <w:top w:val="single" w:sz="4" w:space="0" w:color="7F7F7F"/>
              <w:left w:val="single" w:sz="4" w:space="0" w:color="7F7F7F"/>
              <w:bottom w:val="single" w:sz="4" w:space="0" w:color="7F7F7F"/>
              <w:right w:val="single" w:sz="4" w:space="0" w:color="7F7F7F"/>
            </w:tcBorders>
            <w:shd w:val="clear" w:color="auto" w:fill="ABE9FF"/>
            <w:noWrap/>
            <w:vAlign w:val="center"/>
            <w:hideMark/>
          </w:tcPr>
          <w:p w:rsidR="00255CDA" w:rsidRPr="00255CDA" w:rsidRDefault="00255CDA" w:rsidP="00D57F12">
            <w:pPr>
              <w:spacing w:before="80" w:after="80"/>
              <w:jc w:val="center"/>
              <w:rPr>
                <w:rFonts w:ascii="Arial" w:hAnsi="Arial" w:cs="Arial"/>
                <w:bCs/>
                <w:color w:val="000000"/>
                <w:sz w:val="20"/>
                <w:szCs w:val="20"/>
                <w:lang w:eastAsia="es-ES"/>
              </w:rPr>
            </w:pPr>
            <w:r w:rsidRPr="00255CDA">
              <w:rPr>
                <w:rFonts w:ascii="Arial" w:hAnsi="Arial" w:cs="Arial"/>
                <w:bCs/>
                <w:color w:val="000000"/>
                <w:sz w:val="20"/>
                <w:szCs w:val="20"/>
                <w:lang w:eastAsia="es-ES"/>
              </w:rPr>
              <w:t>21</w:t>
            </w:r>
          </w:p>
        </w:tc>
        <w:tc>
          <w:tcPr>
            <w:tcW w:w="1629" w:type="dxa"/>
            <w:tcBorders>
              <w:top w:val="single" w:sz="4" w:space="0" w:color="7F7F7F"/>
              <w:left w:val="single" w:sz="4" w:space="0" w:color="7F7F7F"/>
              <w:bottom w:val="single" w:sz="4" w:space="0" w:color="7F7F7F"/>
              <w:right w:val="single" w:sz="4" w:space="0" w:color="7F7F7F"/>
            </w:tcBorders>
            <w:shd w:val="clear" w:color="auto" w:fill="ABE9FF"/>
            <w:noWrap/>
            <w:vAlign w:val="center"/>
            <w:hideMark/>
          </w:tcPr>
          <w:p w:rsidR="00255CDA" w:rsidRPr="00255CDA" w:rsidRDefault="00255CDA" w:rsidP="00D57F12">
            <w:pPr>
              <w:spacing w:before="80" w:after="80"/>
              <w:jc w:val="center"/>
              <w:rPr>
                <w:rFonts w:ascii="Arial" w:hAnsi="Arial" w:cs="Arial"/>
                <w:bCs/>
                <w:color w:val="000000"/>
                <w:sz w:val="20"/>
                <w:szCs w:val="20"/>
                <w:lang w:eastAsia="es-ES"/>
              </w:rPr>
            </w:pPr>
            <w:r w:rsidRPr="00255CDA">
              <w:rPr>
                <w:rFonts w:ascii="Arial" w:hAnsi="Arial" w:cs="Arial"/>
                <w:bCs/>
                <w:color w:val="000000"/>
                <w:sz w:val="20"/>
                <w:szCs w:val="20"/>
                <w:lang w:eastAsia="es-ES"/>
              </w:rPr>
              <w:t>5,85</w:t>
            </w:r>
          </w:p>
        </w:tc>
        <w:tc>
          <w:tcPr>
            <w:tcW w:w="1447" w:type="dxa"/>
            <w:tcBorders>
              <w:top w:val="single" w:sz="4" w:space="0" w:color="7F7F7F"/>
              <w:left w:val="single" w:sz="4" w:space="0" w:color="7F7F7F"/>
              <w:bottom w:val="single" w:sz="4" w:space="0" w:color="7F7F7F"/>
              <w:right w:val="single" w:sz="4" w:space="0" w:color="7F7F7F"/>
            </w:tcBorders>
            <w:shd w:val="clear" w:color="auto" w:fill="ABE9FF"/>
            <w:noWrap/>
            <w:vAlign w:val="center"/>
            <w:hideMark/>
          </w:tcPr>
          <w:p w:rsidR="00255CDA" w:rsidRPr="00255CDA" w:rsidRDefault="00255CDA" w:rsidP="00D57F12">
            <w:pPr>
              <w:spacing w:before="80" w:after="80"/>
              <w:jc w:val="center"/>
              <w:rPr>
                <w:rFonts w:ascii="Arial" w:hAnsi="Arial" w:cs="Arial"/>
                <w:bCs/>
                <w:color w:val="000000"/>
                <w:sz w:val="20"/>
                <w:szCs w:val="20"/>
                <w:lang w:eastAsia="es-ES"/>
              </w:rPr>
            </w:pPr>
            <w:r w:rsidRPr="00255CDA">
              <w:rPr>
                <w:rFonts w:ascii="Arial" w:hAnsi="Arial" w:cs="Arial"/>
                <w:bCs/>
                <w:color w:val="000000"/>
                <w:sz w:val="20"/>
                <w:szCs w:val="20"/>
                <w:lang w:eastAsia="es-ES"/>
              </w:rPr>
              <w:t>359</w:t>
            </w:r>
          </w:p>
        </w:tc>
      </w:tr>
      <w:tr w:rsidR="00255CDA" w:rsidRPr="00255CDA" w:rsidTr="00C45599">
        <w:trPr>
          <w:trHeight w:val="318"/>
          <w:jc w:val="center"/>
        </w:trPr>
        <w:tc>
          <w:tcPr>
            <w:tcW w:w="3552" w:type="dxa"/>
            <w:tcBorders>
              <w:top w:val="single" w:sz="4" w:space="0" w:color="7F7F7F"/>
              <w:left w:val="single" w:sz="8" w:space="0" w:color="5B9BD5"/>
              <w:bottom w:val="single" w:sz="4" w:space="0" w:color="7F7F7F"/>
              <w:right w:val="single" w:sz="8" w:space="0" w:color="5B9BD5"/>
            </w:tcBorders>
            <w:shd w:val="clear" w:color="auto" w:fill="auto"/>
            <w:noWrap/>
            <w:vAlign w:val="center"/>
            <w:hideMark/>
          </w:tcPr>
          <w:p w:rsidR="00255CDA" w:rsidRPr="00255CDA" w:rsidRDefault="00255CDA" w:rsidP="00D57F12">
            <w:pPr>
              <w:spacing w:before="80" w:after="80"/>
              <w:rPr>
                <w:rFonts w:ascii="Arial" w:hAnsi="Arial" w:cs="Arial"/>
                <w:bCs/>
                <w:color w:val="000000"/>
                <w:sz w:val="20"/>
                <w:szCs w:val="20"/>
                <w:lang w:eastAsia="es-ES"/>
              </w:rPr>
            </w:pPr>
            <w:r w:rsidRPr="00255CDA">
              <w:rPr>
                <w:rFonts w:ascii="Arial" w:hAnsi="Arial" w:cs="Arial"/>
                <w:bCs/>
                <w:color w:val="000000"/>
                <w:sz w:val="20"/>
                <w:szCs w:val="20"/>
                <w:lang w:eastAsia="es-ES"/>
              </w:rPr>
              <w:t>Economía, Hacienda y Empleo</w:t>
            </w:r>
          </w:p>
        </w:tc>
        <w:tc>
          <w:tcPr>
            <w:tcW w:w="2434" w:type="dxa"/>
            <w:tcBorders>
              <w:top w:val="single" w:sz="4" w:space="0" w:color="7F7F7F"/>
              <w:left w:val="nil"/>
              <w:bottom w:val="single" w:sz="4" w:space="0" w:color="7F7F7F"/>
              <w:right w:val="single" w:sz="8" w:space="0" w:color="5B9BD5"/>
            </w:tcBorders>
            <w:shd w:val="clear" w:color="auto" w:fill="auto"/>
            <w:noWrap/>
            <w:vAlign w:val="center"/>
            <w:hideMark/>
          </w:tcPr>
          <w:p w:rsidR="00255CDA" w:rsidRPr="00255CDA" w:rsidRDefault="00255CDA" w:rsidP="00D57F12">
            <w:pPr>
              <w:spacing w:before="80" w:after="80"/>
              <w:jc w:val="center"/>
              <w:rPr>
                <w:rFonts w:ascii="Arial" w:hAnsi="Arial" w:cs="Arial"/>
                <w:bCs/>
                <w:color w:val="000000"/>
                <w:sz w:val="20"/>
                <w:szCs w:val="20"/>
                <w:lang w:eastAsia="es-ES"/>
              </w:rPr>
            </w:pPr>
            <w:r w:rsidRPr="00255CDA">
              <w:rPr>
                <w:rFonts w:ascii="Arial" w:hAnsi="Arial" w:cs="Arial"/>
                <w:bCs/>
                <w:color w:val="000000"/>
                <w:sz w:val="20"/>
                <w:szCs w:val="20"/>
                <w:lang w:eastAsia="es-ES"/>
              </w:rPr>
              <w:t>14</w:t>
            </w:r>
          </w:p>
        </w:tc>
        <w:tc>
          <w:tcPr>
            <w:tcW w:w="1629" w:type="dxa"/>
            <w:tcBorders>
              <w:top w:val="single" w:sz="4" w:space="0" w:color="7F7F7F"/>
              <w:left w:val="nil"/>
              <w:bottom w:val="single" w:sz="4" w:space="0" w:color="7F7F7F"/>
              <w:right w:val="single" w:sz="8" w:space="0" w:color="5B9BD5"/>
            </w:tcBorders>
            <w:shd w:val="clear" w:color="auto" w:fill="auto"/>
            <w:noWrap/>
            <w:vAlign w:val="center"/>
            <w:hideMark/>
          </w:tcPr>
          <w:p w:rsidR="00255CDA" w:rsidRPr="00255CDA" w:rsidRDefault="00255CDA" w:rsidP="00D57F12">
            <w:pPr>
              <w:spacing w:before="80" w:after="80"/>
              <w:jc w:val="center"/>
              <w:rPr>
                <w:rFonts w:ascii="Arial" w:hAnsi="Arial" w:cs="Arial"/>
                <w:bCs/>
                <w:color w:val="000000"/>
                <w:sz w:val="20"/>
                <w:szCs w:val="20"/>
                <w:lang w:eastAsia="es-ES"/>
              </w:rPr>
            </w:pPr>
            <w:r w:rsidRPr="00255CDA">
              <w:rPr>
                <w:rFonts w:ascii="Arial" w:hAnsi="Arial" w:cs="Arial"/>
                <w:bCs/>
                <w:color w:val="000000"/>
                <w:sz w:val="20"/>
                <w:szCs w:val="20"/>
                <w:lang w:eastAsia="es-ES"/>
              </w:rPr>
              <w:t>4,23</w:t>
            </w:r>
          </w:p>
        </w:tc>
        <w:tc>
          <w:tcPr>
            <w:tcW w:w="1447" w:type="dxa"/>
            <w:tcBorders>
              <w:top w:val="single" w:sz="4" w:space="0" w:color="7F7F7F"/>
              <w:left w:val="nil"/>
              <w:bottom w:val="single" w:sz="4" w:space="0" w:color="7F7F7F"/>
              <w:right w:val="single" w:sz="8" w:space="0" w:color="5B9BD5"/>
            </w:tcBorders>
            <w:shd w:val="clear" w:color="auto" w:fill="auto"/>
            <w:noWrap/>
            <w:vAlign w:val="center"/>
            <w:hideMark/>
          </w:tcPr>
          <w:p w:rsidR="00255CDA" w:rsidRPr="00255CDA" w:rsidRDefault="00255CDA" w:rsidP="00D57F12">
            <w:pPr>
              <w:spacing w:before="80" w:after="80"/>
              <w:jc w:val="center"/>
              <w:rPr>
                <w:rFonts w:ascii="Arial" w:hAnsi="Arial" w:cs="Arial"/>
                <w:bCs/>
                <w:color w:val="000000"/>
                <w:sz w:val="20"/>
                <w:szCs w:val="20"/>
                <w:lang w:eastAsia="es-ES"/>
              </w:rPr>
            </w:pPr>
            <w:r w:rsidRPr="00255CDA">
              <w:rPr>
                <w:rFonts w:ascii="Arial" w:hAnsi="Arial" w:cs="Arial"/>
                <w:bCs/>
                <w:color w:val="000000"/>
                <w:sz w:val="20"/>
                <w:szCs w:val="20"/>
                <w:lang w:eastAsia="es-ES"/>
              </w:rPr>
              <w:t>331</w:t>
            </w:r>
          </w:p>
        </w:tc>
      </w:tr>
      <w:tr w:rsidR="00255CDA" w:rsidRPr="00255CDA" w:rsidTr="00C45599">
        <w:trPr>
          <w:trHeight w:val="318"/>
          <w:jc w:val="center"/>
        </w:trPr>
        <w:tc>
          <w:tcPr>
            <w:tcW w:w="3552" w:type="dxa"/>
            <w:tcBorders>
              <w:top w:val="single" w:sz="4" w:space="0" w:color="7F7F7F"/>
              <w:left w:val="single" w:sz="4" w:space="0" w:color="7F7F7F"/>
              <w:bottom w:val="single" w:sz="4" w:space="0" w:color="7F7F7F"/>
              <w:right w:val="single" w:sz="4" w:space="0" w:color="7F7F7F"/>
            </w:tcBorders>
            <w:shd w:val="clear" w:color="auto" w:fill="ABE9FF"/>
            <w:noWrap/>
            <w:vAlign w:val="center"/>
            <w:hideMark/>
          </w:tcPr>
          <w:p w:rsidR="00255CDA" w:rsidRPr="00255CDA" w:rsidRDefault="00255CDA" w:rsidP="00D57F12">
            <w:pPr>
              <w:spacing w:before="80" w:after="80"/>
              <w:rPr>
                <w:rFonts w:ascii="Arial" w:hAnsi="Arial" w:cs="Arial"/>
                <w:bCs/>
                <w:color w:val="000000"/>
                <w:sz w:val="20"/>
                <w:szCs w:val="20"/>
                <w:lang w:eastAsia="es-ES"/>
              </w:rPr>
            </w:pPr>
            <w:r w:rsidRPr="00255CDA">
              <w:rPr>
                <w:rFonts w:ascii="Arial" w:hAnsi="Arial" w:cs="Arial"/>
                <w:bCs/>
                <w:color w:val="000000"/>
                <w:sz w:val="20"/>
                <w:szCs w:val="20"/>
                <w:lang w:eastAsia="es-ES"/>
              </w:rPr>
              <w:t>Medio Ambiente, Vivienda y Agricultura</w:t>
            </w:r>
          </w:p>
        </w:tc>
        <w:tc>
          <w:tcPr>
            <w:tcW w:w="2434" w:type="dxa"/>
            <w:tcBorders>
              <w:top w:val="single" w:sz="4" w:space="0" w:color="7F7F7F"/>
              <w:left w:val="single" w:sz="4" w:space="0" w:color="7F7F7F"/>
              <w:bottom w:val="single" w:sz="4" w:space="0" w:color="7F7F7F"/>
              <w:right w:val="single" w:sz="4" w:space="0" w:color="7F7F7F"/>
            </w:tcBorders>
            <w:shd w:val="clear" w:color="auto" w:fill="ABE9FF"/>
            <w:noWrap/>
            <w:vAlign w:val="center"/>
            <w:hideMark/>
          </w:tcPr>
          <w:p w:rsidR="00255CDA" w:rsidRPr="00255CDA" w:rsidRDefault="00255CDA" w:rsidP="00D57F12">
            <w:pPr>
              <w:spacing w:before="80" w:after="80"/>
              <w:jc w:val="center"/>
              <w:rPr>
                <w:rFonts w:ascii="Arial" w:hAnsi="Arial" w:cs="Arial"/>
                <w:bCs/>
                <w:color w:val="000000"/>
                <w:sz w:val="20"/>
                <w:szCs w:val="20"/>
                <w:lang w:eastAsia="es-ES"/>
              </w:rPr>
            </w:pPr>
            <w:r w:rsidRPr="00255CDA">
              <w:rPr>
                <w:rFonts w:ascii="Arial" w:hAnsi="Arial" w:cs="Arial"/>
                <w:bCs/>
                <w:color w:val="000000"/>
                <w:sz w:val="20"/>
                <w:szCs w:val="20"/>
                <w:lang w:eastAsia="es-ES"/>
              </w:rPr>
              <w:t>13</w:t>
            </w:r>
          </w:p>
        </w:tc>
        <w:tc>
          <w:tcPr>
            <w:tcW w:w="1629" w:type="dxa"/>
            <w:tcBorders>
              <w:top w:val="single" w:sz="4" w:space="0" w:color="7F7F7F"/>
              <w:left w:val="single" w:sz="4" w:space="0" w:color="7F7F7F"/>
              <w:bottom w:val="single" w:sz="4" w:space="0" w:color="7F7F7F"/>
              <w:right w:val="single" w:sz="4" w:space="0" w:color="7F7F7F"/>
            </w:tcBorders>
            <w:shd w:val="clear" w:color="auto" w:fill="ABE9FF"/>
            <w:noWrap/>
            <w:vAlign w:val="center"/>
            <w:hideMark/>
          </w:tcPr>
          <w:p w:rsidR="00255CDA" w:rsidRPr="00255CDA" w:rsidRDefault="00255CDA" w:rsidP="00D57F12">
            <w:pPr>
              <w:spacing w:before="80" w:after="80"/>
              <w:jc w:val="center"/>
              <w:rPr>
                <w:rFonts w:ascii="Arial" w:hAnsi="Arial" w:cs="Arial"/>
                <w:bCs/>
                <w:color w:val="000000"/>
                <w:sz w:val="20"/>
                <w:szCs w:val="20"/>
                <w:lang w:eastAsia="es-ES"/>
              </w:rPr>
            </w:pPr>
            <w:r w:rsidRPr="00255CDA">
              <w:rPr>
                <w:rFonts w:ascii="Arial" w:hAnsi="Arial" w:cs="Arial"/>
                <w:bCs/>
                <w:color w:val="000000"/>
                <w:sz w:val="20"/>
                <w:szCs w:val="20"/>
                <w:lang w:eastAsia="es-ES"/>
              </w:rPr>
              <w:t>11,21</w:t>
            </w:r>
          </w:p>
        </w:tc>
        <w:tc>
          <w:tcPr>
            <w:tcW w:w="1447" w:type="dxa"/>
            <w:tcBorders>
              <w:top w:val="single" w:sz="4" w:space="0" w:color="7F7F7F"/>
              <w:left w:val="single" w:sz="4" w:space="0" w:color="7F7F7F"/>
              <w:bottom w:val="single" w:sz="4" w:space="0" w:color="7F7F7F"/>
              <w:right w:val="single" w:sz="4" w:space="0" w:color="7F7F7F"/>
            </w:tcBorders>
            <w:shd w:val="clear" w:color="auto" w:fill="ABE9FF"/>
            <w:noWrap/>
            <w:vAlign w:val="center"/>
            <w:hideMark/>
          </w:tcPr>
          <w:p w:rsidR="00255CDA" w:rsidRPr="00255CDA" w:rsidRDefault="00255CDA" w:rsidP="00D57F12">
            <w:pPr>
              <w:spacing w:before="80" w:after="80"/>
              <w:jc w:val="center"/>
              <w:rPr>
                <w:rFonts w:ascii="Arial" w:hAnsi="Arial" w:cs="Arial"/>
                <w:bCs/>
                <w:color w:val="000000"/>
                <w:sz w:val="20"/>
                <w:szCs w:val="20"/>
                <w:lang w:eastAsia="es-ES"/>
              </w:rPr>
            </w:pPr>
            <w:r w:rsidRPr="00255CDA">
              <w:rPr>
                <w:rFonts w:ascii="Arial" w:hAnsi="Arial" w:cs="Arial"/>
                <w:bCs/>
                <w:color w:val="000000"/>
                <w:sz w:val="20"/>
                <w:szCs w:val="20"/>
                <w:lang w:eastAsia="es-ES"/>
              </w:rPr>
              <w:t>116</w:t>
            </w:r>
          </w:p>
        </w:tc>
      </w:tr>
      <w:tr w:rsidR="00255CDA" w:rsidRPr="00255CDA" w:rsidTr="00C45599">
        <w:trPr>
          <w:trHeight w:val="318"/>
          <w:jc w:val="center"/>
        </w:trPr>
        <w:tc>
          <w:tcPr>
            <w:tcW w:w="3552" w:type="dxa"/>
            <w:tcBorders>
              <w:top w:val="single" w:sz="4" w:space="0" w:color="7F7F7F"/>
              <w:left w:val="single" w:sz="8" w:space="0" w:color="5B9BD5"/>
              <w:bottom w:val="single" w:sz="4" w:space="0" w:color="7F7F7F"/>
              <w:right w:val="single" w:sz="8" w:space="0" w:color="5B9BD5"/>
            </w:tcBorders>
            <w:shd w:val="clear" w:color="auto" w:fill="auto"/>
            <w:noWrap/>
            <w:vAlign w:val="center"/>
            <w:hideMark/>
          </w:tcPr>
          <w:p w:rsidR="00255CDA" w:rsidRPr="00255CDA" w:rsidRDefault="00255CDA" w:rsidP="00D57F12">
            <w:pPr>
              <w:spacing w:before="80" w:after="80"/>
              <w:rPr>
                <w:rFonts w:ascii="Arial" w:hAnsi="Arial" w:cs="Arial"/>
                <w:bCs/>
                <w:color w:val="000000"/>
                <w:sz w:val="20"/>
                <w:szCs w:val="20"/>
                <w:lang w:eastAsia="es-ES"/>
              </w:rPr>
            </w:pPr>
            <w:r w:rsidRPr="00255CDA">
              <w:rPr>
                <w:rFonts w:ascii="Arial" w:hAnsi="Arial" w:cs="Arial"/>
                <w:bCs/>
                <w:color w:val="000000"/>
                <w:sz w:val="20"/>
                <w:szCs w:val="20"/>
                <w:lang w:eastAsia="es-ES"/>
              </w:rPr>
              <w:t>Presidencia, Justicia e Interior</w:t>
            </w:r>
          </w:p>
        </w:tc>
        <w:tc>
          <w:tcPr>
            <w:tcW w:w="2434" w:type="dxa"/>
            <w:tcBorders>
              <w:top w:val="single" w:sz="4" w:space="0" w:color="7F7F7F"/>
              <w:left w:val="nil"/>
              <w:bottom w:val="single" w:sz="4" w:space="0" w:color="7F7F7F"/>
              <w:right w:val="single" w:sz="8" w:space="0" w:color="5B9BD5"/>
            </w:tcBorders>
            <w:shd w:val="clear" w:color="auto" w:fill="auto"/>
            <w:noWrap/>
            <w:vAlign w:val="center"/>
            <w:hideMark/>
          </w:tcPr>
          <w:p w:rsidR="00255CDA" w:rsidRPr="00255CDA" w:rsidRDefault="00255CDA" w:rsidP="00D57F12">
            <w:pPr>
              <w:spacing w:before="80" w:after="80"/>
              <w:jc w:val="center"/>
              <w:rPr>
                <w:rFonts w:ascii="Arial" w:hAnsi="Arial" w:cs="Arial"/>
                <w:bCs/>
                <w:color w:val="000000"/>
                <w:sz w:val="20"/>
                <w:szCs w:val="20"/>
                <w:lang w:eastAsia="es-ES"/>
              </w:rPr>
            </w:pPr>
            <w:r w:rsidRPr="00255CDA">
              <w:rPr>
                <w:rFonts w:ascii="Arial" w:hAnsi="Arial" w:cs="Arial"/>
                <w:bCs/>
                <w:color w:val="000000"/>
                <w:sz w:val="20"/>
                <w:szCs w:val="20"/>
                <w:lang w:eastAsia="es-ES"/>
              </w:rPr>
              <w:t>7</w:t>
            </w:r>
          </w:p>
        </w:tc>
        <w:tc>
          <w:tcPr>
            <w:tcW w:w="1629" w:type="dxa"/>
            <w:tcBorders>
              <w:top w:val="single" w:sz="4" w:space="0" w:color="7F7F7F"/>
              <w:left w:val="nil"/>
              <w:bottom w:val="single" w:sz="4" w:space="0" w:color="7F7F7F"/>
              <w:right w:val="single" w:sz="8" w:space="0" w:color="5B9BD5"/>
            </w:tcBorders>
            <w:shd w:val="clear" w:color="auto" w:fill="auto"/>
            <w:noWrap/>
            <w:vAlign w:val="center"/>
            <w:hideMark/>
          </w:tcPr>
          <w:p w:rsidR="00255CDA" w:rsidRPr="00255CDA" w:rsidRDefault="00255CDA" w:rsidP="00D57F12">
            <w:pPr>
              <w:spacing w:before="80" w:after="80"/>
              <w:jc w:val="center"/>
              <w:rPr>
                <w:rFonts w:ascii="Arial" w:hAnsi="Arial" w:cs="Arial"/>
                <w:bCs/>
                <w:color w:val="000000"/>
                <w:sz w:val="20"/>
                <w:szCs w:val="20"/>
                <w:lang w:eastAsia="es-ES"/>
              </w:rPr>
            </w:pPr>
            <w:r w:rsidRPr="00255CDA">
              <w:rPr>
                <w:rFonts w:ascii="Arial" w:hAnsi="Arial" w:cs="Arial"/>
                <w:bCs/>
                <w:color w:val="000000"/>
                <w:sz w:val="20"/>
                <w:szCs w:val="20"/>
                <w:lang w:eastAsia="es-ES"/>
              </w:rPr>
              <w:t>6,67</w:t>
            </w:r>
          </w:p>
        </w:tc>
        <w:tc>
          <w:tcPr>
            <w:tcW w:w="1447" w:type="dxa"/>
            <w:tcBorders>
              <w:top w:val="single" w:sz="4" w:space="0" w:color="7F7F7F"/>
              <w:left w:val="nil"/>
              <w:bottom w:val="single" w:sz="4" w:space="0" w:color="7F7F7F"/>
              <w:right w:val="single" w:sz="8" w:space="0" w:color="5B9BD5"/>
            </w:tcBorders>
            <w:shd w:val="clear" w:color="auto" w:fill="auto"/>
            <w:noWrap/>
            <w:vAlign w:val="center"/>
            <w:hideMark/>
          </w:tcPr>
          <w:p w:rsidR="00255CDA" w:rsidRPr="00255CDA" w:rsidRDefault="00255CDA" w:rsidP="00D57F12">
            <w:pPr>
              <w:spacing w:before="80" w:after="80"/>
              <w:jc w:val="center"/>
              <w:rPr>
                <w:rFonts w:ascii="Arial" w:hAnsi="Arial" w:cs="Arial"/>
                <w:bCs/>
                <w:color w:val="000000"/>
                <w:sz w:val="20"/>
                <w:szCs w:val="20"/>
                <w:lang w:eastAsia="es-ES"/>
              </w:rPr>
            </w:pPr>
            <w:r w:rsidRPr="00255CDA">
              <w:rPr>
                <w:rFonts w:ascii="Arial" w:hAnsi="Arial" w:cs="Arial"/>
                <w:bCs/>
                <w:color w:val="000000"/>
                <w:sz w:val="20"/>
                <w:szCs w:val="20"/>
                <w:lang w:eastAsia="es-ES"/>
              </w:rPr>
              <w:t>105</w:t>
            </w:r>
          </w:p>
        </w:tc>
      </w:tr>
      <w:tr w:rsidR="00255CDA" w:rsidRPr="00255CDA" w:rsidTr="00C45599">
        <w:trPr>
          <w:trHeight w:val="318"/>
          <w:jc w:val="center"/>
        </w:trPr>
        <w:tc>
          <w:tcPr>
            <w:tcW w:w="3552" w:type="dxa"/>
            <w:tcBorders>
              <w:top w:val="single" w:sz="4" w:space="0" w:color="7F7F7F"/>
              <w:left w:val="single" w:sz="4" w:space="0" w:color="7F7F7F"/>
              <w:bottom w:val="single" w:sz="4" w:space="0" w:color="7F7F7F"/>
              <w:right w:val="single" w:sz="4" w:space="0" w:color="7F7F7F"/>
            </w:tcBorders>
            <w:shd w:val="clear" w:color="auto" w:fill="ABE9FF"/>
            <w:noWrap/>
            <w:vAlign w:val="center"/>
            <w:hideMark/>
          </w:tcPr>
          <w:p w:rsidR="00255CDA" w:rsidRPr="00255CDA" w:rsidRDefault="00255CDA" w:rsidP="00D57F12">
            <w:pPr>
              <w:spacing w:before="80" w:after="80"/>
              <w:rPr>
                <w:rFonts w:ascii="Arial" w:hAnsi="Arial" w:cs="Arial"/>
                <w:bCs/>
                <w:color w:val="000000"/>
                <w:sz w:val="20"/>
                <w:szCs w:val="20"/>
                <w:lang w:eastAsia="es-ES"/>
              </w:rPr>
            </w:pPr>
            <w:r w:rsidRPr="00255CDA">
              <w:rPr>
                <w:rFonts w:ascii="Arial" w:hAnsi="Arial" w:cs="Arial"/>
                <w:bCs/>
                <w:color w:val="000000"/>
                <w:sz w:val="20"/>
                <w:szCs w:val="20"/>
                <w:lang w:eastAsia="es-ES"/>
              </w:rPr>
              <w:t>Transportes e Infraestructuras</w:t>
            </w:r>
          </w:p>
        </w:tc>
        <w:tc>
          <w:tcPr>
            <w:tcW w:w="2434" w:type="dxa"/>
            <w:tcBorders>
              <w:top w:val="single" w:sz="4" w:space="0" w:color="7F7F7F"/>
              <w:left w:val="single" w:sz="4" w:space="0" w:color="7F7F7F"/>
              <w:bottom w:val="single" w:sz="4" w:space="0" w:color="7F7F7F"/>
              <w:right w:val="single" w:sz="4" w:space="0" w:color="7F7F7F"/>
            </w:tcBorders>
            <w:shd w:val="clear" w:color="auto" w:fill="ABE9FF"/>
            <w:noWrap/>
            <w:vAlign w:val="center"/>
            <w:hideMark/>
          </w:tcPr>
          <w:p w:rsidR="00255CDA" w:rsidRPr="00255CDA" w:rsidRDefault="00255CDA" w:rsidP="00D57F12">
            <w:pPr>
              <w:spacing w:before="80" w:after="80"/>
              <w:jc w:val="center"/>
              <w:rPr>
                <w:rFonts w:ascii="Arial" w:hAnsi="Arial" w:cs="Arial"/>
                <w:bCs/>
                <w:color w:val="000000"/>
                <w:sz w:val="20"/>
                <w:szCs w:val="20"/>
                <w:lang w:eastAsia="es-ES"/>
              </w:rPr>
            </w:pPr>
            <w:r w:rsidRPr="00255CDA">
              <w:rPr>
                <w:rFonts w:ascii="Arial" w:hAnsi="Arial" w:cs="Arial"/>
                <w:bCs/>
                <w:color w:val="000000"/>
                <w:sz w:val="20"/>
                <w:szCs w:val="20"/>
                <w:lang w:eastAsia="es-ES"/>
              </w:rPr>
              <w:t>6</w:t>
            </w:r>
          </w:p>
        </w:tc>
        <w:tc>
          <w:tcPr>
            <w:tcW w:w="1629" w:type="dxa"/>
            <w:tcBorders>
              <w:top w:val="single" w:sz="4" w:space="0" w:color="7F7F7F"/>
              <w:left w:val="single" w:sz="4" w:space="0" w:color="7F7F7F"/>
              <w:bottom w:val="single" w:sz="4" w:space="0" w:color="7F7F7F"/>
              <w:right w:val="single" w:sz="4" w:space="0" w:color="7F7F7F"/>
            </w:tcBorders>
            <w:shd w:val="clear" w:color="auto" w:fill="ABE9FF"/>
            <w:noWrap/>
            <w:vAlign w:val="center"/>
            <w:hideMark/>
          </w:tcPr>
          <w:p w:rsidR="00255CDA" w:rsidRPr="00255CDA" w:rsidRDefault="00255CDA" w:rsidP="00D57F12">
            <w:pPr>
              <w:spacing w:before="80" w:after="80"/>
              <w:jc w:val="center"/>
              <w:rPr>
                <w:rFonts w:ascii="Arial" w:hAnsi="Arial" w:cs="Arial"/>
                <w:bCs/>
                <w:color w:val="000000"/>
                <w:sz w:val="20"/>
                <w:szCs w:val="20"/>
                <w:lang w:eastAsia="es-ES"/>
              </w:rPr>
            </w:pPr>
            <w:r w:rsidRPr="00255CDA">
              <w:rPr>
                <w:rFonts w:ascii="Arial" w:hAnsi="Arial" w:cs="Arial"/>
                <w:bCs/>
                <w:color w:val="000000"/>
                <w:sz w:val="20"/>
                <w:szCs w:val="20"/>
                <w:lang w:eastAsia="es-ES"/>
              </w:rPr>
              <w:t>4,38</w:t>
            </w:r>
          </w:p>
        </w:tc>
        <w:tc>
          <w:tcPr>
            <w:tcW w:w="1447" w:type="dxa"/>
            <w:tcBorders>
              <w:top w:val="single" w:sz="4" w:space="0" w:color="7F7F7F"/>
              <w:left w:val="single" w:sz="4" w:space="0" w:color="7F7F7F"/>
              <w:bottom w:val="single" w:sz="4" w:space="0" w:color="7F7F7F"/>
              <w:right w:val="single" w:sz="4" w:space="0" w:color="7F7F7F"/>
            </w:tcBorders>
            <w:shd w:val="clear" w:color="auto" w:fill="ABE9FF"/>
            <w:noWrap/>
            <w:vAlign w:val="center"/>
            <w:hideMark/>
          </w:tcPr>
          <w:p w:rsidR="00255CDA" w:rsidRPr="00255CDA" w:rsidRDefault="00255CDA" w:rsidP="00D57F12">
            <w:pPr>
              <w:spacing w:before="80" w:after="80"/>
              <w:jc w:val="center"/>
              <w:rPr>
                <w:rFonts w:ascii="Arial" w:hAnsi="Arial" w:cs="Arial"/>
                <w:bCs/>
                <w:color w:val="000000"/>
                <w:sz w:val="20"/>
                <w:szCs w:val="20"/>
                <w:lang w:eastAsia="es-ES"/>
              </w:rPr>
            </w:pPr>
            <w:r w:rsidRPr="00255CDA">
              <w:rPr>
                <w:rFonts w:ascii="Arial" w:hAnsi="Arial" w:cs="Arial"/>
                <w:bCs/>
                <w:color w:val="000000"/>
                <w:sz w:val="20"/>
                <w:szCs w:val="20"/>
                <w:lang w:eastAsia="es-ES"/>
              </w:rPr>
              <w:t>137</w:t>
            </w:r>
          </w:p>
        </w:tc>
      </w:tr>
      <w:tr w:rsidR="00255CDA" w:rsidRPr="00255CDA" w:rsidTr="00C45599">
        <w:trPr>
          <w:trHeight w:val="318"/>
          <w:jc w:val="center"/>
        </w:trPr>
        <w:tc>
          <w:tcPr>
            <w:tcW w:w="3552" w:type="dxa"/>
            <w:tcBorders>
              <w:top w:val="single" w:sz="4" w:space="0" w:color="7F7F7F"/>
              <w:left w:val="single" w:sz="8" w:space="0" w:color="5B9BD5"/>
              <w:bottom w:val="single" w:sz="4" w:space="0" w:color="7F7F7F"/>
              <w:right w:val="single" w:sz="8" w:space="0" w:color="5B9BD5"/>
            </w:tcBorders>
            <w:shd w:val="clear" w:color="auto" w:fill="auto"/>
            <w:noWrap/>
            <w:vAlign w:val="center"/>
            <w:hideMark/>
          </w:tcPr>
          <w:p w:rsidR="00255CDA" w:rsidRPr="00255CDA" w:rsidRDefault="00255CDA" w:rsidP="00D57F12">
            <w:pPr>
              <w:spacing w:before="80" w:after="80"/>
              <w:rPr>
                <w:rFonts w:ascii="Arial" w:hAnsi="Arial" w:cs="Arial"/>
                <w:bCs/>
                <w:color w:val="000000"/>
                <w:sz w:val="20"/>
                <w:szCs w:val="20"/>
                <w:lang w:eastAsia="es-ES"/>
              </w:rPr>
            </w:pPr>
            <w:r w:rsidRPr="00255CDA">
              <w:rPr>
                <w:rFonts w:ascii="Arial" w:hAnsi="Arial" w:cs="Arial"/>
                <w:bCs/>
                <w:color w:val="000000"/>
                <w:sz w:val="20"/>
                <w:szCs w:val="20"/>
                <w:lang w:eastAsia="es-ES"/>
              </w:rPr>
              <w:t>Familia, Juventud y Política Social</w:t>
            </w:r>
          </w:p>
        </w:tc>
        <w:tc>
          <w:tcPr>
            <w:tcW w:w="2434" w:type="dxa"/>
            <w:tcBorders>
              <w:top w:val="single" w:sz="4" w:space="0" w:color="7F7F7F"/>
              <w:left w:val="nil"/>
              <w:bottom w:val="single" w:sz="4" w:space="0" w:color="7F7F7F"/>
              <w:right w:val="single" w:sz="8" w:space="0" w:color="5B9BD5"/>
            </w:tcBorders>
            <w:shd w:val="clear" w:color="auto" w:fill="auto"/>
            <w:noWrap/>
            <w:vAlign w:val="center"/>
            <w:hideMark/>
          </w:tcPr>
          <w:p w:rsidR="00255CDA" w:rsidRPr="00255CDA" w:rsidRDefault="00255CDA" w:rsidP="00D57F12">
            <w:pPr>
              <w:spacing w:before="80" w:after="80"/>
              <w:jc w:val="center"/>
              <w:rPr>
                <w:rFonts w:ascii="Arial" w:hAnsi="Arial" w:cs="Arial"/>
                <w:bCs/>
                <w:color w:val="000000"/>
                <w:sz w:val="20"/>
                <w:szCs w:val="20"/>
                <w:lang w:eastAsia="es-ES"/>
              </w:rPr>
            </w:pPr>
            <w:r w:rsidRPr="00255CDA">
              <w:rPr>
                <w:rFonts w:ascii="Arial" w:hAnsi="Arial" w:cs="Arial"/>
                <w:bCs/>
                <w:color w:val="000000"/>
                <w:sz w:val="20"/>
                <w:szCs w:val="20"/>
                <w:lang w:eastAsia="es-ES"/>
              </w:rPr>
              <w:t>5</w:t>
            </w:r>
          </w:p>
        </w:tc>
        <w:tc>
          <w:tcPr>
            <w:tcW w:w="1629" w:type="dxa"/>
            <w:tcBorders>
              <w:top w:val="single" w:sz="4" w:space="0" w:color="7F7F7F"/>
              <w:left w:val="nil"/>
              <w:bottom w:val="single" w:sz="4" w:space="0" w:color="7F7F7F"/>
              <w:right w:val="single" w:sz="8" w:space="0" w:color="5B9BD5"/>
            </w:tcBorders>
            <w:shd w:val="clear" w:color="auto" w:fill="auto"/>
            <w:noWrap/>
            <w:vAlign w:val="center"/>
            <w:hideMark/>
          </w:tcPr>
          <w:p w:rsidR="00255CDA" w:rsidRPr="00255CDA" w:rsidRDefault="00255CDA" w:rsidP="00D57F12">
            <w:pPr>
              <w:spacing w:before="80" w:after="80"/>
              <w:jc w:val="center"/>
              <w:rPr>
                <w:rFonts w:ascii="Arial" w:hAnsi="Arial" w:cs="Arial"/>
                <w:bCs/>
                <w:color w:val="000000"/>
                <w:sz w:val="20"/>
                <w:szCs w:val="20"/>
                <w:lang w:eastAsia="es-ES"/>
              </w:rPr>
            </w:pPr>
            <w:r w:rsidRPr="00255CDA">
              <w:rPr>
                <w:rFonts w:ascii="Arial" w:hAnsi="Arial" w:cs="Arial"/>
                <w:bCs/>
                <w:color w:val="000000"/>
                <w:sz w:val="20"/>
                <w:szCs w:val="20"/>
                <w:lang w:eastAsia="es-ES"/>
              </w:rPr>
              <w:t>3,65</w:t>
            </w:r>
          </w:p>
        </w:tc>
        <w:tc>
          <w:tcPr>
            <w:tcW w:w="1447" w:type="dxa"/>
            <w:tcBorders>
              <w:top w:val="single" w:sz="4" w:space="0" w:color="7F7F7F"/>
              <w:left w:val="nil"/>
              <w:bottom w:val="single" w:sz="4" w:space="0" w:color="7F7F7F"/>
              <w:right w:val="single" w:sz="8" w:space="0" w:color="5B9BD5"/>
            </w:tcBorders>
            <w:shd w:val="clear" w:color="auto" w:fill="auto"/>
            <w:noWrap/>
            <w:vAlign w:val="center"/>
            <w:hideMark/>
          </w:tcPr>
          <w:p w:rsidR="00255CDA" w:rsidRPr="00255CDA" w:rsidRDefault="00255CDA" w:rsidP="00D57F12">
            <w:pPr>
              <w:spacing w:before="80" w:after="80"/>
              <w:jc w:val="center"/>
              <w:rPr>
                <w:rFonts w:ascii="Arial" w:hAnsi="Arial" w:cs="Arial"/>
                <w:bCs/>
                <w:color w:val="000000"/>
                <w:sz w:val="20"/>
                <w:szCs w:val="20"/>
                <w:lang w:eastAsia="es-ES"/>
              </w:rPr>
            </w:pPr>
            <w:r w:rsidRPr="00255CDA">
              <w:rPr>
                <w:rFonts w:ascii="Arial" w:hAnsi="Arial" w:cs="Arial"/>
                <w:bCs/>
                <w:color w:val="000000"/>
                <w:sz w:val="20"/>
                <w:szCs w:val="20"/>
                <w:lang w:eastAsia="es-ES"/>
              </w:rPr>
              <w:t>137</w:t>
            </w:r>
          </w:p>
        </w:tc>
      </w:tr>
      <w:tr w:rsidR="00255CDA" w:rsidRPr="00255CDA" w:rsidTr="00C45599">
        <w:trPr>
          <w:trHeight w:val="318"/>
          <w:jc w:val="center"/>
        </w:trPr>
        <w:tc>
          <w:tcPr>
            <w:tcW w:w="3552" w:type="dxa"/>
            <w:tcBorders>
              <w:top w:val="single" w:sz="4" w:space="0" w:color="7F7F7F"/>
              <w:left w:val="single" w:sz="4" w:space="0" w:color="7F7F7F"/>
              <w:bottom w:val="single" w:sz="4" w:space="0" w:color="7F7F7F"/>
              <w:right w:val="single" w:sz="4" w:space="0" w:color="7F7F7F"/>
            </w:tcBorders>
            <w:shd w:val="clear" w:color="auto" w:fill="ABE9FF"/>
            <w:noWrap/>
            <w:vAlign w:val="center"/>
            <w:hideMark/>
          </w:tcPr>
          <w:p w:rsidR="00255CDA" w:rsidRPr="00255CDA" w:rsidRDefault="00255CDA" w:rsidP="00D57F12">
            <w:pPr>
              <w:spacing w:before="80" w:after="80"/>
              <w:rPr>
                <w:rFonts w:ascii="Arial" w:hAnsi="Arial" w:cs="Arial"/>
                <w:bCs/>
                <w:color w:val="000000"/>
                <w:sz w:val="20"/>
                <w:szCs w:val="20"/>
                <w:lang w:eastAsia="es-ES"/>
              </w:rPr>
            </w:pPr>
            <w:r w:rsidRPr="00255CDA">
              <w:rPr>
                <w:rFonts w:ascii="Arial" w:hAnsi="Arial" w:cs="Arial"/>
                <w:bCs/>
                <w:color w:val="000000"/>
                <w:sz w:val="20"/>
                <w:szCs w:val="20"/>
                <w:lang w:eastAsia="es-ES"/>
              </w:rPr>
              <w:t>Administración Local y Digitalización</w:t>
            </w:r>
          </w:p>
        </w:tc>
        <w:tc>
          <w:tcPr>
            <w:tcW w:w="2434" w:type="dxa"/>
            <w:tcBorders>
              <w:top w:val="single" w:sz="4" w:space="0" w:color="7F7F7F"/>
              <w:left w:val="single" w:sz="4" w:space="0" w:color="7F7F7F"/>
              <w:bottom w:val="single" w:sz="4" w:space="0" w:color="7F7F7F"/>
              <w:right w:val="single" w:sz="4" w:space="0" w:color="7F7F7F"/>
            </w:tcBorders>
            <w:shd w:val="clear" w:color="auto" w:fill="ABE9FF"/>
            <w:noWrap/>
            <w:vAlign w:val="center"/>
            <w:hideMark/>
          </w:tcPr>
          <w:p w:rsidR="00255CDA" w:rsidRPr="00255CDA" w:rsidRDefault="00255CDA" w:rsidP="00D57F12">
            <w:pPr>
              <w:spacing w:before="80" w:after="80"/>
              <w:jc w:val="center"/>
              <w:rPr>
                <w:rFonts w:ascii="Arial" w:hAnsi="Arial" w:cs="Arial"/>
                <w:bCs/>
                <w:color w:val="000000"/>
                <w:sz w:val="20"/>
                <w:szCs w:val="20"/>
                <w:lang w:eastAsia="es-ES"/>
              </w:rPr>
            </w:pPr>
            <w:r w:rsidRPr="00255CDA">
              <w:rPr>
                <w:rFonts w:ascii="Arial" w:hAnsi="Arial" w:cs="Arial"/>
                <w:bCs/>
                <w:color w:val="000000"/>
                <w:sz w:val="20"/>
                <w:szCs w:val="20"/>
                <w:lang w:eastAsia="es-ES"/>
              </w:rPr>
              <w:t>1</w:t>
            </w:r>
          </w:p>
        </w:tc>
        <w:tc>
          <w:tcPr>
            <w:tcW w:w="1629" w:type="dxa"/>
            <w:tcBorders>
              <w:top w:val="single" w:sz="4" w:space="0" w:color="7F7F7F"/>
              <w:left w:val="single" w:sz="4" w:space="0" w:color="7F7F7F"/>
              <w:bottom w:val="single" w:sz="4" w:space="0" w:color="7F7F7F"/>
              <w:right w:val="single" w:sz="4" w:space="0" w:color="7F7F7F"/>
            </w:tcBorders>
            <w:shd w:val="clear" w:color="auto" w:fill="ABE9FF"/>
            <w:noWrap/>
            <w:vAlign w:val="center"/>
            <w:hideMark/>
          </w:tcPr>
          <w:p w:rsidR="00255CDA" w:rsidRPr="00255CDA" w:rsidRDefault="00255CDA" w:rsidP="00D57F12">
            <w:pPr>
              <w:spacing w:before="80" w:after="80"/>
              <w:jc w:val="center"/>
              <w:rPr>
                <w:rFonts w:ascii="Arial" w:hAnsi="Arial" w:cs="Arial"/>
                <w:bCs/>
                <w:color w:val="000000"/>
                <w:sz w:val="20"/>
                <w:szCs w:val="20"/>
                <w:lang w:eastAsia="es-ES"/>
              </w:rPr>
            </w:pPr>
            <w:r w:rsidRPr="00255CDA">
              <w:rPr>
                <w:rFonts w:ascii="Arial" w:hAnsi="Arial" w:cs="Arial"/>
                <w:bCs/>
                <w:color w:val="000000"/>
                <w:sz w:val="20"/>
                <w:szCs w:val="20"/>
                <w:lang w:eastAsia="es-ES"/>
              </w:rPr>
              <w:t>6,25</w:t>
            </w:r>
          </w:p>
        </w:tc>
        <w:tc>
          <w:tcPr>
            <w:tcW w:w="1447" w:type="dxa"/>
            <w:tcBorders>
              <w:top w:val="single" w:sz="4" w:space="0" w:color="7F7F7F"/>
              <w:left w:val="single" w:sz="4" w:space="0" w:color="7F7F7F"/>
              <w:bottom w:val="single" w:sz="4" w:space="0" w:color="7F7F7F"/>
              <w:right w:val="single" w:sz="4" w:space="0" w:color="7F7F7F"/>
            </w:tcBorders>
            <w:shd w:val="clear" w:color="auto" w:fill="ABE9FF"/>
            <w:noWrap/>
            <w:vAlign w:val="center"/>
            <w:hideMark/>
          </w:tcPr>
          <w:p w:rsidR="00255CDA" w:rsidRPr="00255CDA" w:rsidRDefault="00255CDA" w:rsidP="00D57F12">
            <w:pPr>
              <w:spacing w:before="80" w:after="80"/>
              <w:jc w:val="center"/>
              <w:rPr>
                <w:rFonts w:ascii="Arial" w:hAnsi="Arial" w:cs="Arial"/>
                <w:bCs/>
                <w:color w:val="000000"/>
                <w:sz w:val="20"/>
                <w:szCs w:val="20"/>
                <w:lang w:eastAsia="es-ES"/>
              </w:rPr>
            </w:pPr>
            <w:r w:rsidRPr="00255CDA">
              <w:rPr>
                <w:rFonts w:ascii="Arial" w:hAnsi="Arial" w:cs="Arial"/>
                <w:bCs/>
                <w:color w:val="000000"/>
                <w:sz w:val="20"/>
                <w:szCs w:val="20"/>
                <w:lang w:eastAsia="es-ES"/>
              </w:rPr>
              <w:t>16</w:t>
            </w:r>
          </w:p>
        </w:tc>
      </w:tr>
      <w:tr w:rsidR="00255CDA" w:rsidRPr="00255CDA" w:rsidTr="00C45599">
        <w:trPr>
          <w:trHeight w:val="318"/>
          <w:jc w:val="center"/>
        </w:trPr>
        <w:tc>
          <w:tcPr>
            <w:tcW w:w="3552" w:type="dxa"/>
            <w:tcBorders>
              <w:top w:val="single" w:sz="4" w:space="0" w:color="7F7F7F"/>
              <w:left w:val="single" w:sz="8" w:space="0" w:color="5B9BD5"/>
              <w:bottom w:val="single" w:sz="8" w:space="0" w:color="5B9BD5"/>
              <w:right w:val="single" w:sz="8" w:space="0" w:color="5B9BD5"/>
            </w:tcBorders>
            <w:shd w:val="clear" w:color="auto" w:fill="auto"/>
            <w:noWrap/>
            <w:vAlign w:val="center"/>
            <w:hideMark/>
          </w:tcPr>
          <w:p w:rsidR="00255CDA" w:rsidRPr="00255CDA" w:rsidRDefault="00255CDA" w:rsidP="00D57F12">
            <w:pPr>
              <w:spacing w:before="80" w:after="80"/>
              <w:rPr>
                <w:rFonts w:ascii="Arial" w:hAnsi="Arial" w:cs="Arial"/>
                <w:bCs/>
                <w:color w:val="000000"/>
                <w:sz w:val="20"/>
                <w:szCs w:val="20"/>
                <w:lang w:eastAsia="es-ES"/>
              </w:rPr>
            </w:pPr>
            <w:r w:rsidRPr="00255CDA">
              <w:rPr>
                <w:rFonts w:ascii="Arial" w:hAnsi="Arial" w:cs="Arial"/>
                <w:bCs/>
                <w:color w:val="000000"/>
                <w:sz w:val="20"/>
                <w:szCs w:val="20"/>
                <w:lang w:eastAsia="es-ES"/>
              </w:rPr>
              <w:t>Cultura, Turismo y Deporte</w:t>
            </w:r>
          </w:p>
        </w:tc>
        <w:tc>
          <w:tcPr>
            <w:tcW w:w="2434" w:type="dxa"/>
            <w:tcBorders>
              <w:top w:val="single" w:sz="4" w:space="0" w:color="7F7F7F"/>
              <w:left w:val="nil"/>
              <w:bottom w:val="single" w:sz="8" w:space="0" w:color="5B9BD5"/>
              <w:right w:val="single" w:sz="8" w:space="0" w:color="5B9BD5"/>
            </w:tcBorders>
            <w:shd w:val="clear" w:color="auto" w:fill="auto"/>
            <w:noWrap/>
            <w:vAlign w:val="center"/>
            <w:hideMark/>
          </w:tcPr>
          <w:p w:rsidR="00255CDA" w:rsidRPr="00255CDA" w:rsidRDefault="00255CDA" w:rsidP="00D57F12">
            <w:pPr>
              <w:spacing w:before="80" w:after="80"/>
              <w:jc w:val="center"/>
              <w:rPr>
                <w:rFonts w:ascii="Arial" w:hAnsi="Arial" w:cs="Arial"/>
                <w:bCs/>
                <w:color w:val="000000"/>
                <w:sz w:val="20"/>
                <w:szCs w:val="20"/>
                <w:lang w:eastAsia="es-ES"/>
              </w:rPr>
            </w:pPr>
            <w:r w:rsidRPr="00255CDA">
              <w:rPr>
                <w:rFonts w:ascii="Arial" w:hAnsi="Arial" w:cs="Arial"/>
                <w:bCs/>
                <w:color w:val="000000"/>
                <w:sz w:val="20"/>
                <w:szCs w:val="20"/>
                <w:lang w:eastAsia="es-ES"/>
              </w:rPr>
              <w:t>1</w:t>
            </w:r>
          </w:p>
        </w:tc>
        <w:tc>
          <w:tcPr>
            <w:tcW w:w="1629" w:type="dxa"/>
            <w:tcBorders>
              <w:top w:val="single" w:sz="4" w:space="0" w:color="7F7F7F"/>
              <w:left w:val="nil"/>
              <w:bottom w:val="single" w:sz="8" w:space="0" w:color="5B9BD5"/>
              <w:right w:val="single" w:sz="8" w:space="0" w:color="5B9BD5"/>
            </w:tcBorders>
            <w:shd w:val="clear" w:color="auto" w:fill="auto"/>
            <w:noWrap/>
            <w:vAlign w:val="center"/>
            <w:hideMark/>
          </w:tcPr>
          <w:p w:rsidR="00255CDA" w:rsidRPr="00255CDA" w:rsidRDefault="00255CDA" w:rsidP="00D57F12">
            <w:pPr>
              <w:spacing w:before="80" w:after="80"/>
              <w:jc w:val="center"/>
              <w:rPr>
                <w:rFonts w:ascii="Arial" w:hAnsi="Arial" w:cs="Arial"/>
                <w:bCs/>
                <w:color w:val="000000"/>
                <w:sz w:val="20"/>
                <w:szCs w:val="20"/>
                <w:lang w:eastAsia="es-ES"/>
              </w:rPr>
            </w:pPr>
            <w:r w:rsidRPr="00255CDA">
              <w:rPr>
                <w:rFonts w:ascii="Arial" w:hAnsi="Arial" w:cs="Arial"/>
                <w:bCs/>
                <w:color w:val="000000"/>
                <w:sz w:val="20"/>
                <w:szCs w:val="20"/>
                <w:lang w:eastAsia="es-ES"/>
              </w:rPr>
              <w:t>1,56</w:t>
            </w:r>
          </w:p>
        </w:tc>
        <w:tc>
          <w:tcPr>
            <w:tcW w:w="1447" w:type="dxa"/>
            <w:tcBorders>
              <w:top w:val="single" w:sz="4" w:space="0" w:color="7F7F7F"/>
              <w:left w:val="nil"/>
              <w:bottom w:val="single" w:sz="8" w:space="0" w:color="5B9BD5"/>
              <w:right w:val="single" w:sz="8" w:space="0" w:color="5B9BD5"/>
            </w:tcBorders>
            <w:shd w:val="clear" w:color="auto" w:fill="auto"/>
            <w:noWrap/>
            <w:vAlign w:val="center"/>
            <w:hideMark/>
          </w:tcPr>
          <w:p w:rsidR="00255CDA" w:rsidRPr="00255CDA" w:rsidRDefault="00255CDA" w:rsidP="00D57F12">
            <w:pPr>
              <w:spacing w:before="80" w:after="80"/>
              <w:jc w:val="center"/>
              <w:rPr>
                <w:rFonts w:ascii="Arial" w:hAnsi="Arial" w:cs="Arial"/>
                <w:bCs/>
                <w:color w:val="000000"/>
                <w:sz w:val="20"/>
                <w:szCs w:val="20"/>
                <w:lang w:eastAsia="es-ES"/>
              </w:rPr>
            </w:pPr>
            <w:r w:rsidRPr="00255CDA">
              <w:rPr>
                <w:rFonts w:ascii="Arial" w:hAnsi="Arial" w:cs="Arial"/>
                <w:bCs/>
                <w:color w:val="000000"/>
                <w:sz w:val="20"/>
                <w:szCs w:val="20"/>
                <w:lang w:eastAsia="es-ES"/>
              </w:rPr>
              <w:t>64</w:t>
            </w:r>
          </w:p>
        </w:tc>
      </w:tr>
    </w:tbl>
    <w:p w:rsidR="00255CDA" w:rsidRPr="00255CDA" w:rsidRDefault="00255CDA" w:rsidP="00255CDA">
      <w:pPr>
        <w:pStyle w:val="Textodeprrafo"/>
      </w:pPr>
    </w:p>
    <w:p w:rsidR="00255CDA" w:rsidRPr="00255CDA" w:rsidRDefault="00255CDA" w:rsidP="00255CDA">
      <w:pPr>
        <w:pStyle w:val="Subttulo"/>
        <w:spacing w:before="0" w:line="20" w:lineRule="atLeast"/>
        <w:rPr>
          <w:rFonts w:cs="Arial"/>
          <w:color w:val="2F5496"/>
        </w:rPr>
      </w:pPr>
      <w:bookmarkStart w:id="108" w:name="_Toc64153859"/>
      <w:bookmarkStart w:id="109" w:name="_Toc64314683"/>
      <w:r w:rsidRPr="00255CDA">
        <w:rPr>
          <w:rFonts w:cs="Arial"/>
          <w:color w:val="2F5496"/>
        </w:rPr>
        <w:t xml:space="preserve">Gráfico </w:t>
      </w:r>
      <w:r w:rsidR="005A57C4">
        <w:rPr>
          <w:rFonts w:cs="Arial"/>
          <w:color w:val="2F5496"/>
        </w:rPr>
        <w:t>3.</w:t>
      </w:r>
      <w:r w:rsidRPr="00255CDA">
        <w:rPr>
          <w:rFonts w:cs="Arial"/>
          <w:color w:val="2F5496"/>
        </w:rPr>
        <w:t xml:space="preserve">7: Resoluciones </w:t>
      </w:r>
      <w:bookmarkEnd w:id="108"/>
      <w:r w:rsidRPr="00255CDA">
        <w:rPr>
          <w:rFonts w:cs="Arial"/>
          <w:color w:val="2F5496"/>
        </w:rPr>
        <w:t>por sentido de la resolución</w:t>
      </w:r>
      <w:bookmarkEnd w:id="109"/>
    </w:p>
    <w:p w:rsidR="00255CDA" w:rsidRPr="00255CDA" w:rsidRDefault="00F019D1" w:rsidP="00F019D1">
      <w:pPr>
        <w:pStyle w:val="Subttulo"/>
        <w:spacing w:before="0" w:line="20" w:lineRule="atLeast"/>
        <w:rPr>
          <w:rFonts w:cs="Arial"/>
        </w:rPr>
      </w:pPr>
      <w:r>
        <w:rPr>
          <w:rFonts w:cs="Arial"/>
          <w:noProof/>
          <w:lang w:val="es-ES" w:eastAsia="es-ES"/>
        </w:rPr>
        <w:drawing>
          <wp:inline distT="0" distB="0" distL="0" distR="0">
            <wp:extent cx="4750686" cy="2599495"/>
            <wp:effectExtent l="12700" t="12700" r="12065" b="171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86393" cy="2619033"/>
                    </a:xfrm>
                    <a:prstGeom prst="rect">
                      <a:avLst/>
                    </a:prstGeom>
                    <a:ln>
                      <a:solidFill>
                        <a:schemeClr val="accent1"/>
                      </a:solidFill>
                    </a:ln>
                  </pic:spPr>
                </pic:pic>
              </a:graphicData>
            </a:graphic>
          </wp:inline>
        </w:drawing>
      </w:r>
    </w:p>
    <w:p w:rsidR="006407AA" w:rsidRPr="00F019D1" w:rsidRDefault="00255CDA" w:rsidP="00F019D1">
      <w:pPr>
        <w:pStyle w:val="Textodeprrafo"/>
        <w:rPr>
          <w:color w:val="231F20"/>
          <w:sz w:val="22"/>
          <w:szCs w:val="22"/>
        </w:rPr>
      </w:pPr>
      <w:r w:rsidRPr="00C35748">
        <w:rPr>
          <w:color w:val="231F20"/>
          <w:sz w:val="22"/>
          <w:szCs w:val="22"/>
        </w:rPr>
        <w:t xml:space="preserve">Durante </w:t>
      </w:r>
      <w:r w:rsidR="00C35748">
        <w:rPr>
          <w:color w:val="231F20"/>
          <w:sz w:val="22"/>
          <w:szCs w:val="22"/>
        </w:rPr>
        <w:t xml:space="preserve">el año </w:t>
      </w:r>
      <w:r w:rsidRPr="00C35748">
        <w:rPr>
          <w:color w:val="231F20"/>
          <w:sz w:val="22"/>
          <w:szCs w:val="22"/>
        </w:rPr>
        <w:t>2022 el Consejo de Transparencia y Participación de la Comunidad de Madrid d</w:t>
      </w:r>
      <w:r w:rsidRPr="00C35748">
        <w:rPr>
          <w:rStyle w:val="Textoennegrita"/>
          <w:b w:val="0"/>
          <w:color w:val="212121"/>
          <w:sz w:val="22"/>
          <w:szCs w:val="22"/>
        </w:rPr>
        <w:t>ictó</w:t>
      </w:r>
      <w:r w:rsidRPr="00C35748">
        <w:rPr>
          <w:rStyle w:val="Textoennegrita"/>
          <w:color w:val="212121"/>
          <w:sz w:val="22"/>
          <w:szCs w:val="22"/>
        </w:rPr>
        <w:t xml:space="preserve"> 70 resoluciones. </w:t>
      </w:r>
      <w:r w:rsidRPr="00C35748">
        <w:rPr>
          <w:rStyle w:val="Textoennegrita"/>
          <w:b w:val="0"/>
          <w:color w:val="212121"/>
          <w:sz w:val="22"/>
          <w:szCs w:val="22"/>
        </w:rPr>
        <w:t>En el gráfico 7</w:t>
      </w:r>
      <w:r w:rsidRPr="00C35748">
        <w:rPr>
          <w:color w:val="231F20"/>
          <w:sz w:val="22"/>
          <w:szCs w:val="22"/>
        </w:rPr>
        <w:t xml:space="preserve"> se desglosan estas resoluciones por tipo de acuerdo adoptado</w:t>
      </w:r>
      <w:r w:rsidR="00C35748">
        <w:rPr>
          <w:color w:val="231F20"/>
          <w:sz w:val="22"/>
          <w:szCs w:val="22"/>
        </w:rPr>
        <w:t>.</w:t>
      </w:r>
      <w:r w:rsidRPr="00C35748">
        <w:rPr>
          <w:color w:val="231F20"/>
          <w:sz w:val="22"/>
          <w:szCs w:val="22"/>
        </w:rPr>
        <w:t xml:space="preserve"> </w:t>
      </w:r>
      <w:r w:rsidR="00C35748">
        <w:rPr>
          <w:color w:val="231F20"/>
          <w:sz w:val="22"/>
          <w:szCs w:val="22"/>
        </w:rPr>
        <w:t>E</w:t>
      </w:r>
      <w:r w:rsidRPr="00C35748">
        <w:rPr>
          <w:color w:val="231F20"/>
          <w:sz w:val="22"/>
          <w:szCs w:val="22"/>
        </w:rPr>
        <w:t xml:space="preserve">s destacable </w:t>
      </w:r>
      <w:r w:rsidR="00C35748">
        <w:rPr>
          <w:color w:val="231F20"/>
          <w:sz w:val="22"/>
          <w:szCs w:val="22"/>
        </w:rPr>
        <w:t xml:space="preserve">reseñar </w:t>
      </w:r>
      <w:r w:rsidRPr="00C35748">
        <w:rPr>
          <w:color w:val="231F20"/>
          <w:sz w:val="22"/>
          <w:szCs w:val="22"/>
        </w:rPr>
        <w:t>que disminuye el número de reclamaciones desestimadas, de 33 en 2021 a 14</w:t>
      </w:r>
      <w:r w:rsidR="00C35748">
        <w:rPr>
          <w:color w:val="231F20"/>
          <w:sz w:val="22"/>
          <w:szCs w:val="22"/>
        </w:rPr>
        <w:t xml:space="preserve"> en 2022 y </w:t>
      </w:r>
      <w:r w:rsidRPr="00C35748">
        <w:rPr>
          <w:color w:val="231F20"/>
          <w:sz w:val="22"/>
          <w:szCs w:val="22"/>
        </w:rPr>
        <w:t xml:space="preserve">también </w:t>
      </w:r>
      <w:r w:rsidR="00C35748">
        <w:rPr>
          <w:color w:val="231F20"/>
          <w:sz w:val="22"/>
          <w:szCs w:val="22"/>
        </w:rPr>
        <w:t>lo hace</w:t>
      </w:r>
      <w:r w:rsidRPr="00C35748">
        <w:rPr>
          <w:color w:val="231F20"/>
          <w:sz w:val="22"/>
          <w:szCs w:val="22"/>
        </w:rPr>
        <w:t xml:space="preserve"> </w:t>
      </w:r>
      <w:r w:rsidR="00C35748">
        <w:rPr>
          <w:color w:val="231F20"/>
          <w:sz w:val="22"/>
          <w:szCs w:val="22"/>
        </w:rPr>
        <w:t>su porcentaje respecto al total</w:t>
      </w:r>
      <w:r w:rsidRPr="00C35748">
        <w:rPr>
          <w:color w:val="231F20"/>
          <w:sz w:val="22"/>
          <w:szCs w:val="22"/>
        </w:rPr>
        <w:t>. Como novedad</w:t>
      </w:r>
      <w:r w:rsidR="00C35748">
        <w:rPr>
          <w:color w:val="231F20"/>
          <w:sz w:val="22"/>
          <w:szCs w:val="22"/>
        </w:rPr>
        <w:t>,</w:t>
      </w:r>
      <w:r w:rsidRPr="00C35748">
        <w:rPr>
          <w:color w:val="231F20"/>
          <w:sz w:val="22"/>
          <w:szCs w:val="22"/>
        </w:rPr>
        <w:t xml:space="preserve"> cabe señalar el importante número de reclamaciones terminadas por pérdida de objeto, indicando que las unidades gestoras facilitan la información solicitada antes de la terminación del trámite de la reclamación por parte del Consejo de Transparencia y Participación.</w:t>
      </w:r>
      <w:r w:rsidR="006407AA">
        <w:rPr>
          <w:color w:val="231F20"/>
        </w:rPr>
        <w:br w:type="page"/>
      </w:r>
    </w:p>
    <w:p w:rsidR="00255CDA" w:rsidRDefault="00B04539" w:rsidP="00255CDA">
      <w:pPr>
        <w:pStyle w:val="Textodeprrafo"/>
        <w:rPr>
          <w:color w:val="231F20"/>
          <w:sz w:val="22"/>
          <w:szCs w:val="22"/>
        </w:rPr>
      </w:pPr>
      <w:r>
        <w:rPr>
          <w:noProof/>
          <w:color w:val="231F20"/>
          <w:sz w:val="22"/>
          <w:szCs w:val="22"/>
          <w:lang w:eastAsia="es-ES" w:bidi="ar-SA"/>
        </w:rPr>
        <w:lastRenderedPageBreak/>
        <w:drawing>
          <wp:inline distT="0" distB="0" distL="0" distR="0">
            <wp:extent cx="2700000" cy="885600"/>
            <wp:effectExtent l="0" t="0" r="5715"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0000" cy="885600"/>
                    </a:xfrm>
                    <a:prstGeom prst="rect">
                      <a:avLst/>
                    </a:prstGeom>
                  </pic:spPr>
                </pic:pic>
              </a:graphicData>
            </a:graphic>
          </wp:inline>
        </w:drawing>
      </w:r>
    </w:p>
    <w:p w:rsidR="007E499C" w:rsidRPr="00C35748" w:rsidRDefault="007E499C" w:rsidP="00255CDA">
      <w:pPr>
        <w:pStyle w:val="Textodeprrafo"/>
        <w:rPr>
          <w:color w:val="231F20"/>
          <w:sz w:val="22"/>
          <w:szCs w:val="22"/>
        </w:rPr>
      </w:pPr>
    </w:p>
    <w:p w:rsidR="007E499C" w:rsidRPr="00E40F54" w:rsidRDefault="007E499C" w:rsidP="007E499C">
      <w:pPr>
        <w:pStyle w:val="Ttulo2"/>
        <w:numPr>
          <w:ilvl w:val="0"/>
          <w:numId w:val="0"/>
        </w:numPr>
        <w:rPr>
          <w:rFonts w:ascii="Arial" w:hAnsi="Arial" w:cs="Arial"/>
          <w:color w:val="2F5496"/>
          <w:sz w:val="24"/>
          <w:szCs w:val="24"/>
        </w:rPr>
      </w:pPr>
      <w:bookmarkStart w:id="110" w:name="_Toc64153873"/>
      <w:bookmarkStart w:id="111" w:name="_Toc98333351"/>
      <w:r>
        <w:rPr>
          <w:rFonts w:ascii="Arial" w:hAnsi="Arial" w:cs="Arial"/>
          <w:color w:val="2F5496"/>
          <w:sz w:val="24"/>
          <w:szCs w:val="24"/>
        </w:rPr>
        <w:t>4.</w:t>
      </w:r>
      <w:r w:rsidR="009653BE">
        <w:rPr>
          <w:rFonts w:ascii="Arial" w:hAnsi="Arial" w:cs="Arial"/>
          <w:color w:val="2F5496"/>
          <w:sz w:val="24"/>
          <w:szCs w:val="24"/>
        </w:rPr>
        <w:t>1</w:t>
      </w:r>
      <w:r>
        <w:rPr>
          <w:rFonts w:ascii="Arial" w:hAnsi="Arial" w:cs="Arial"/>
          <w:color w:val="2F5496"/>
          <w:sz w:val="24"/>
          <w:szCs w:val="24"/>
        </w:rPr>
        <w:t xml:space="preserve"> </w:t>
      </w:r>
      <w:r w:rsidRPr="001277A6">
        <w:rPr>
          <w:rFonts w:ascii="Arial" w:hAnsi="Arial" w:cs="Arial"/>
          <w:color w:val="2F5496"/>
          <w:sz w:val="24"/>
          <w:szCs w:val="24"/>
        </w:rPr>
        <w:t xml:space="preserve">Estadísticas de </w:t>
      </w:r>
      <w:r>
        <w:rPr>
          <w:rFonts w:ascii="Arial" w:hAnsi="Arial" w:cs="Arial"/>
          <w:color w:val="2F5496"/>
          <w:sz w:val="24"/>
          <w:szCs w:val="24"/>
        </w:rPr>
        <w:t>visitas</w:t>
      </w:r>
      <w:r w:rsidRPr="001277A6">
        <w:rPr>
          <w:rFonts w:ascii="Arial" w:hAnsi="Arial" w:cs="Arial"/>
          <w:color w:val="2F5496"/>
          <w:sz w:val="24"/>
          <w:szCs w:val="24"/>
        </w:rPr>
        <w:t xml:space="preserve"> al Portal.</w:t>
      </w:r>
      <w:bookmarkStart w:id="112" w:name="_Toc64243488"/>
      <w:bookmarkStart w:id="113" w:name="_Toc64243668"/>
      <w:bookmarkStart w:id="114" w:name="_Toc64314374"/>
      <w:bookmarkStart w:id="115" w:name="_Toc64314608"/>
      <w:bookmarkStart w:id="116" w:name="_Toc64314697"/>
      <w:bookmarkStart w:id="117" w:name="_Toc98333352"/>
      <w:bookmarkStart w:id="118" w:name="_Toc64243489"/>
      <w:bookmarkStart w:id="119" w:name="_Toc64243669"/>
      <w:bookmarkStart w:id="120" w:name="_Toc64314375"/>
      <w:bookmarkStart w:id="121" w:name="_Toc64314609"/>
      <w:bookmarkStart w:id="122" w:name="_Toc64314698"/>
      <w:bookmarkStart w:id="123" w:name="_Toc98333353"/>
      <w:bookmarkStart w:id="124" w:name="_Toc64243490"/>
      <w:bookmarkStart w:id="125" w:name="_Toc64243670"/>
      <w:bookmarkStart w:id="126" w:name="_Toc64314376"/>
      <w:bookmarkStart w:id="127" w:name="_Toc64314610"/>
      <w:bookmarkStart w:id="128" w:name="_Toc64314699"/>
      <w:bookmarkStart w:id="129" w:name="_Toc98333354"/>
      <w:bookmarkStart w:id="130" w:name="_Toc64243491"/>
      <w:bookmarkStart w:id="131" w:name="_Toc64243671"/>
      <w:bookmarkStart w:id="132" w:name="_Toc64314377"/>
      <w:bookmarkStart w:id="133" w:name="_Toc64314611"/>
      <w:bookmarkStart w:id="134" w:name="_Toc64314700"/>
      <w:bookmarkStart w:id="135" w:name="_Toc98333355"/>
      <w:bookmarkStart w:id="136" w:name="_Toc64153874"/>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rsidR="007E499C" w:rsidRPr="009653BE" w:rsidRDefault="007E499C" w:rsidP="007E499C">
      <w:pPr>
        <w:pStyle w:val="Subttulo"/>
        <w:spacing w:before="480"/>
        <w:ind w:left="720"/>
        <w:jc w:val="left"/>
        <w:rPr>
          <w:rFonts w:eastAsia="SimSun" w:cs="Arial"/>
          <w:color w:val="2E74B5"/>
          <w:sz w:val="22"/>
          <w:szCs w:val="22"/>
        </w:rPr>
      </w:pPr>
      <w:bookmarkStart w:id="137" w:name="_Toc98333356"/>
      <w:r w:rsidRPr="009653BE">
        <w:rPr>
          <w:rFonts w:eastAsia="SimSun" w:cs="Arial"/>
          <w:color w:val="2E74B5"/>
          <w:sz w:val="22"/>
          <w:szCs w:val="22"/>
        </w:rPr>
        <w:t>4.</w:t>
      </w:r>
      <w:r w:rsidR="009653BE" w:rsidRPr="009653BE">
        <w:rPr>
          <w:rFonts w:eastAsia="SimSun" w:cs="Arial"/>
          <w:color w:val="2E74B5"/>
          <w:sz w:val="22"/>
          <w:szCs w:val="22"/>
        </w:rPr>
        <w:t>1</w:t>
      </w:r>
      <w:r w:rsidRPr="009653BE">
        <w:rPr>
          <w:rFonts w:eastAsia="SimSun" w:cs="Arial"/>
          <w:color w:val="2E74B5"/>
          <w:sz w:val="22"/>
          <w:szCs w:val="22"/>
        </w:rPr>
        <w:t>.1. Acceso al Portal</w:t>
      </w:r>
      <w:bookmarkEnd w:id="137"/>
      <w:r w:rsidR="005E02E8">
        <w:rPr>
          <w:rFonts w:eastAsia="SimSun" w:cs="Arial"/>
          <w:color w:val="2E74B5"/>
          <w:sz w:val="22"/>
          <w:szCs w:val="22"/>
        </w:rPr>
        <w:t>.</w:t>
      </w:r>
    </w:p>
    <w:p w:rsidR="007E499C" w:rsidRPr="007E499C" w:rsidRDefault="007E499C" w:rsidP="007E499C">
      <w:pPr>
        <w:pStyle w:val="Textodeprrafo"/>
        <w:rPr>
          <w:sz w:val="22"/>
          <w:szCs w:val="22"/>
        </w:rPr>
      </w:pPr>
      <w:r w:rsidRPr="007E499C">
        <w:rPr>
          <w:sz w:val="22"/>
          <w:szCs w:val="22"/>
        </w:rPr>
        <w:t>El Portal de Transparencia de la Comunidad de Madrid recibió durante el año 2022, 1</w:t>
      </w:r>
      <w:r w:rsidR="004368DE">
        <w:rPr>
          <w:sz w:val="22"/>
          <w:szCs w:val="22"/>
        </w:rPr>
        <w:t>.</w:t>
      </w:r>
      <w:r w:rsidRPr="007E499C">
        <w:rPr>
          <w:sz w:val="22"/>
          <w:szCs w:val="22"/>
        </w:rPr>
        <w:t>471</w:t>
      </w:r>
      <w:r w:rsidR="004368DE">
        <w:rPr>
          <w:sz w:val="22"/>
          <w:szCs w:val="22"/>
        </w:rPr>
        <w:t>.</w:t>
      </w:r>
      <w:r w:rsidRPr="007E499C">
        <w:rPr>
          <w:sz w:val="22"/>
          <w:szCs w:val="22"/>
        </w:rPr>
        <w:t>507 visitas, con una duración media por sesión de 2 minutos 22 segundos y un número medio de 2,7 acciones por cada visita. Se registraron un total de 3</w:t>
      </w:r>
      <w:r w:rsidR="004368DE">
        <w:rPr>
          <w:sz w:val="22"/>
          <w:szCs w:val="22"/>
        </w:rPr>
        <w:t>.</w:t>
      </w:r>
      <w:r w:rsidRPr="007E499C">
        <w:rPr>
          <w:sz w:val="22"/>
          <w:szCs w:val="22"/>
        </w:rPr>
        <w:t>418</w:t>
      </w:r>
      <w:r w:rsidR="004368DE">
        <w:rPr>
          <w:sz w:val="22"/>
          <w:szCs w:val="22"/>
        </w:rPr>
        <w:t>.</w:t>
      </w:r>
      <w:r w:rsidRPr="007E499C">
        <w:rPr>
          <w:sz w:val="22"/>
          <w:szCs w:val="22"/>
        </w:rPr>
        <w:t>458 páginas vistas y se produjeron un total de 329</w:t>
      </w:r>
      <w:r w:rsidR="004368DE">
        <w:rPr>
          <w:sz w:val="22"/>
          <w:szCs w:val="22"/>
        </w:rPr>
        <w:t>.</w:t>
      </w:r>
      <w:r w:rsidRPr="007E499C">
        <w:rPr>
          <w:sz w:val="22"/>
          <w:szCs w:val="22"/>
        </w:rPr>
        <w:t xml:space="preserve">707 descargas. </w:t>
      </w:r>
    </w:p>
    <w:p w:rsidR="007E499C" w:rsidRPr="007E499C" w:rsidRDefault="007E499C" w:rsidP="007E499C">
      <w:pPr>
        <w:pStyle w:val="Subttulo"/>
        <w:spacing w:before="0" w:line="20" w:lineRule="atLeast"/>
        <w:ind w:left="360"/>
        <w:rPr>
          <w:rFonts w:cs="Arial"/>
          <w:color w:val="2F5496"/>
          <w:sz w:val="22"/>
          <w:szCs w:val="22"/>
        </w:rPr>
      </w:pPr>
    </w:p>
    <w:p w:rsidR="007E499C" w:rsidRDefault="007E499C" w:rsidP="007E499C">
      <w:pPr>
        <w:pStyle w:val="Subttulo"/>
        <w:spacing w:before="0" w:line="20" w:lineRule="atLeast"/>
        <w:ind w:left="360"/>
        <w:rPr>
          <w:rFonts w:cs="Arial"/>
          <w:color w:val="2F5496"/>
        </w:rPr>
      </w:pPr>
      <w:r>
        <w:rPr>
          <w:rFonts w:cs="Arial"/>
          <w:color w:val="2F5496"/>
        </w:rPr>
        <w:t xml:space="preserve">Tabla </w:t>
      </w:r>
      <w:r w:rsidR="005A57C4">
        <w:rPr>
          <w:rFonts w:cs="Arial"/>
          <w:color w:val="2F5496"/>
        </w:rPr>
        <w:t>4.</w:t>
      </w:r>
      <w:r>
        <w:rPr>
          <w:rFonts w:cs="Arial"/>
          <w:color w:val="2F5496"/>
        </w:rPr>
        <w:t>1: Datos globales. Año 2022</w:t>
      </w:r>
    </w:p>
    <w:tbl>
      <w:tblPr>
        <w:tblW w:w="7146" w:type="dxa"/>
        <w:jc w:val="center"/>
        <w:shd w:val="clear" w:color="auto" w:fill="FFFFFF" w:themeFill="background1"/>
        <w:tblCellMar>
          <w:left w:w="70" w:type="dxa"/>
          <w:right w:w="70" w:type="dxa"/>
        </w:tblCellMar>
        <w:tblLook w:val="04A0" w:firstRow="1" w:lastRow="0" w:firstColumn="1" w:lastColumn="0" w:noHBand="0" w:noVBand="1"/>
      </w:tblPr>
      <w:tblGrid>
        <w:gridCol w:w="5185"/>
        <w:gridCol w:w="1961"/>
      </w:tblGrid>
      <w:tr w:rsidR="00B04539" w:rsidRPr="00B04539" w:rsidTr="00C45599">
        <w:trPr>
          <w:trHeight w:val="1147"/>
          <w:jc w:val="center"/>
        </w:trPr>
        <w:tc>
          <w:tcPr>
            <w:tcW w:w="5185" w:type="dxa"/>
            <w:tcBorders>
              <w:top w:val="single" w:sz="4" w:space="0" w:color="7F7F7F"/>
              <w:left w:val="single" w:sz="4" w:space="0" w:color="7F7F7F"/>
              <w:bottom w:val="single" w:sz="4" w:space="0" w:color="7F7F7F"/>
              <w:right w:val="single" w:sz="4" w:space="0" w:color="7F7F7F"/>
            </w:tcBorders>
            <w:shd w:val="clear" w:color="auto" w:fill="ABE9FF"/>
            <w:noWrap/>
            <w:vAlign w:val="center"/>
            <w:hideMark/>
          </w:tcPr>
          <w:p w:rsidR="007E499C" w:rsidRPr="00310376" w:rsidRDefault="007E499C" w:rsidP="00B04539">
            <w:pPr>
              <w:spacing w:before="80" w:after="80"/>
              <w:rPr>
                <w:rFonts w:ascii="Arial" w:hAnsi="Arial" w:cs="Arial"/>
                <w:b/>
                <w:bCs/>
                <w:color w:val="000000" w:themeColor="text1"/>
                <w:sz w:val="24"/>
                <w:szCs w:val="24"/>
                <w:lang w:eastAsia="es-ES"/>
              </w:rPr>
            </w:pPr>
            <w:r w:rsidRPr="00310376">
              <w:rPr>
                <w:rFonts w:ascii="Arial" w:hAnsi="Arial" w:cs="Arial"/>
                <w:bCs/>
                <w:color w:val="000000" w:themeColor="text1"/>
                <w:sz w:val="24"/>
                <w:szCs w:val="24"/>
                <w:lang w:eastAsia="es-ES"/>
              </w:rPr>
              <w:t>Número de visitas</w:t>
            </w:r>
          </w:p>
        </w:tc>
        <w:tc>
          <w:tcPr>
            <w:tcW w:w="1961" w:type="dxa"/>
            <w:tcBorders>
              <w:top w:val="single" w:sz="4" w:space="0" w:color="7F7F7F"/>
              <w:left w:val="nil"/>
              <w:bottom w:val="single" w:sz="4" w:space="0" w:color="7F7F7F"/>
              <w:right w:val="single" w:sz="4" w:space="0" w:color="7F7F7F"/>
            </w:tcBorders>
            <w:shd w:val="clear" w:color="auto" w:fill="ABE9FF"/>
            <w:noWrap/>
            <w:vAlign w:val="center"/>
            <w:hideMark/>
          </w:tcPr>
          <w:p w:rsidR="007E499C" w:rsidRPr="00310376" w:rsidRDefault="004368DE" w:rsidP="00B04539">
            <w:pPr>
              <w:spacing w:before="80" w:after="80"/>
              <w:jc w:val="right"/>
              <w:rPr>
                <w:rFonts w:ascii="Arial" w:hAnsi="Arial" w:cs="Arial"/>
                <w:b/>
                <w:bCs/>
                <w:color w:val="000000" w:themeColor="text1"/>
                <w:sz w:val="24"/>
                <w:szCs w:val="24"/>
                <w:lang w:eastAsia="es-ES"/>
              </w:rPr>
            </w:pPr>
            <w:r>
              <w:rPr>
                <w:rFonts w:ascii="Arial" w:hAnsi="Arial" w:cs="Arial"/>
                <w:bCs/>
                <w:color w:val="000000" w:themeColor="text1"/>
                <w:sz w:val="24"/>
                <w:szCs w:val="24"/>
                <w:lang w:eastAsia="es-ES"/>
              </w:rPr>
              <w:t>1.471.</w:t>
            </w:r>
            <w:r w:rsidR="007E499C" w:rsidRPr="00310376">
              <w:rPr>
                <w:rFonts w:ascii="Arial" w:hAnsi="Arial" w:cs="Arial"/>
                <w:bCs/>
                <w:color w:val="000000" w:themeColor="text1"/>
                <w:sz w:val="24"/>
                <w:szCs w:val="24"/>
                <w:lang w:eastAsia="es-ES"/>
              </w:rPr>
              <w:t>507</w:t>
            </w:r>
          </w:p>
        </w:tc>
      </w:tr>
      <w:tr w:rsidR="00B04539" w:rsidRPr="00B04539" w:rsidTr="00C45599">
        <w:trPr>
          <w:trHeight w:val="1147"/>
          <w:jc w:val="center"/>
        </w:trPr>
        <w:tc>
          <w:tcPr>
            <w:tcW w:w="5185" w:type="dxa"/>
            <w:tcBorders>
              <w:top w:val="nil"/>
              <w:left w:val="single" w:sz="4" w:space="0" w:color="7F7F7F"/>
              <w:bottom w:val="single" w:sz="4" w:space="0" w:color="7F7F7F"/>
              <w:right w:val="single" w:sz="4" w:space="0" w:color="7F7F7F"/>
            </w:tcBorders>
            <w:shd w:val="clear" w:color="auto" w:fill="FFFFFF" w:themeFill="background1"/>
            <w:noWrap/>
            <w:vAlign w:val="center"/>
            <w:hideMark/>
          </w:tcPr>
          <w:p w:rsidR="007E499C" w:rsidRPr="00310376" w:rsidRDefault="007E499C" w:rsidP="00B04539">
            <w:pPr>
              <w:spacing w:before="80" w:after="80"/>
              <w:rPr>
                <w:rFonts w:ascii="Arial" w:hAnsi="Arial" w:cs="Arial"/>
                <w:b/>
                <w:bCs/>
                <w:color w:val="000000" w:themeColor="text1"/>
                <w:sz w:val="24"/>
                <w:szCs w:val="24"/>
                <w:lang w:eastAsia="es-ES"/>
              </w:rPr>
            </w:pPr>
            <w:r w:rsidRPr="00310376">
              <w:rPr>
                <w:rFonts w:ascii="Arial" w:hAnsi="Arial" w:cs="Arial"/>
                <w:bCs/>
                <w:color w:val="000000" w:themeColor="text1"/>
                <w:sz w:val="24"/>
                <w:szCs w:val="24"/>
                <w:lang w:eastAsia="es-ES"/>
              </w:rPr>
              <w:t>Duración media de las visitas</w:t>
            </w:r>
          </w:p>
        </w:tc>
        <w:tc>
          <w:tcPr>
            <w:tcW w:w="1961" w:type="dxa"/>
            <w:tcBorders>
              <w:top w:val="nil"/>
              <w:left w:val="nil"/>
              <w:bottom w:val="single" w:sz="4" w:space="0" w:color="7F7F7F"/>
              <w:right w:val="single" w:sz="4" w:space="0" w:color="7F7F7F"/>
            </w:tcBorders>
            <w:shd w:val="clear" w:color="auto" w:fill="FFFFFF" w:themeFill="background1"/>
            <w:noWrap/>
            <w:vAlign w:val="center"/>
            <w:hideMark/>
          </w:tcPr>
          <w:p w:rsidR="007E499C" w:rsidRPr="00310376" w:rsidRDefault="007E499C" w:rsidP="00B04539">
            <w:pPr>
              <w:spacing w:before="80" w:after="80"/>
              <w:jc w:val="right"/>
              <w:rPr>
                <w:rFonts w:ascii="Arial" w:hAnsi="Arial" w:cs="Arial"/>
                <w:b/>
                <w:bCs/>
                <w:color w:val="000000" w:themeColor="text1"/>
                <w:sz w:val="24"/>
                <w:szCs w:val="24"/>
                <w:lang w:eastAsia="es-ES"/>
              </w:rPr>
            </w:pPr>
            <w:r w:rsidRPr="00310376">
              <w:rPr>
                <w:rFonts w:ascii="Arial" w:hAnsi="Arial" w:cs="Arial"/>
                <w:bCs/>
                <w:color w:val="000000" w:themeColor="text1"/>
                <w:sz w:val="24"/>
                <w:szCs w:val="24"/>
                <w:lang w:eastAsia="es-ES"/>
              </w:rPr>
              <w:t>2 min 22 s</w:t>
            </w:r>
          </w:p>
        </w:tc>
      </w:tr>
      <w:tr w:rsidR="00B04539" w:rsidRPr="00B04539" w:rsidTr="00C45599">
        <w:trPr>
          <w:trHeight w:val="1147"/>
          <w:jc w:val="center"/>
        </w:trPr>
        <w:tc>
          <w:tcPr>
            <w:tcW w:w="5185" w:type="dxa"/>
            <w:tcBorders>
              <w:top w:val="single" w:sz="4" w:space="0" w:color="7F7F7F"/>
              <w:left w:val="single" w:sz="4" w:space="0" w:color="7F7F7F"/>
              <w:bottom w:val="single" w:sz="4" w:space="0" w:color="7F7F7F"/>
              <w:right w:val="single" w:sz="4" w:space="0" w:color="7F7F7F"/>
            </w:tcBorders>
            <w:shd w:val="clear" w:color="auto" w:fill="ABE9FF"/>
            <w:noWrap/>
            <w:vAlign w:val="center"/>
            <w:hideMark/>
          </w:tcPr>
          <w:p w:rsidR="007E499C" w:rsidRPr="00310376" w:rsidRDefault="007E499C" w:rsidP="00B04539">
            <w:pPr>
              <w:spacing w:before="80" w:after="80"/>
              <w:rPr>
                <w:rFonts w:ascii="Arial" w:hAnsi="Arial" w:cs="Arial"/>
                <w:b/>
                <w:bCs/>
                <w:color w:val="000000" w:themeColor="text1"/>
                <w:sz w:val="24"/>
                <w:szCs w:val="24"/>
                <w:lang w:eastAsia="es-ES"/>
              </w:rPr>
            </w:pPr>
            <w:r w:rsidRPr="00310376">
              <w:rPr>
                <w:rFonts w:ascii="Arial" w:hAnsi="Arial" w:cs="Arial"/>
                <w:bCs/>
                <w:color w:val="000000" w:themeColor="text1"/>
                <w:sz w:val="24"/>
                <w:szCs w:val="24"/>
                <w:lang w:eastAsia="es-ES"/>
              </w:rPr>
              <w:t>N</w:t>
            </w:r>
            <w:r w:rsidR="00B04539" w:rsidRPr="00310376">
              <w:rPr>
                <w:rFonts w:ascii="Arial" w:hAnsi="Arial" w:cs="Arial"/>
                <w:bCs/>
                <w:color w:val="000000" w:themeColor="text1"/>
                <w:sz w:val="24"/>
                <w:szCs w:val="24"/>
                <w:lang w:eastAsia="es-ES"/>
              </w:rPr>
              <w:t>.</w:t>
            </w:r>
            <w:r w:rsidRPr="00310376">
              <w:rPr>
                <w:rFonts w:ascii="Arial" w:hAnsi="Arial" w:cs="Arial"/>
                <w:bCs/>
                <w:color w:val="000000" w:themeColor="text1"/>
                <w:sz w:val="24"/>
                <w:szCs w:val="24"/>
                <w:lang w:eastAsia="es-ES"/>
              </w:rPr>
              <w:t>º medio de acciones por visita</w:t>
            </w:r>
          </w:p>
        </w:tc>
        <w:tc>
          <w:tcPr>
            <w:tcW w:w="1961" w:type="dxa"/>
            <w:tcBorders>
              <w:top w:val="single" w:sz="4" w:space="0" w:color="7F7F7F"/>
              <w:left w:val="nil"/>
              <w:bottom w:val="single" w:sz="4" w:space="0" w:color="7F7F7F"/>
              <w:right w:val="single" w:sz="4" w:space="0" w:color="7F7F7F"/>
            </w:tcBorders>
            <w:shd w:val="clear" w:color="auto" w:fill="ABE9FF"/>
            <w:noWrap/>
            <w:vAlign w:val="center"/>
            <w:hideMark/>
          </w:tcPr>
          <w:p w:rsidR="007E499C" w:rsidRPr="00310376" w:rsidRDefault="007E499C" w:rsidP="00B04539">
            <w:pPr>
              <w:spacing w:before="80" w:after="80"/>
              <w:jc w:val="right"/>
              <w:rPr>
                <w:rFonts w:ascii="Arial" w:hAnsi="Arial" w:cs="Arial"/>
                <w:b/>
                <w:bCs/>
                <w:color w:val="000000" w:themeColor="text1"/>
                <w:sz w:val="24"/>
                <w:szCs w:val="24"/>
                <w:lang w:eastAsia="es-ES"/>
              </w:rPr>
            </w:pPr>
            <w:r w:rsidRPr="00310376">
              <w:rPr>
                <w:rFonts w:ascii="Arial" w:hAnsi="Arial" w:cs="Arial"/>
                <w:bCs/>
                <w:color w:val="000000" w:themeColor="text1"/>
                <w:sz w:val="24"/>
                <w:szCs w:val="24"/>
                <w:lang w:eastAsia="es-ES"/>
              </w:rPr>
              <w:t>2,7</w:t>
            </w:r>
          </w:p>
        </w:tc>
      </w:tr>
      <w:tr w:rsidR="00B04539" w:rsidRPr="00B04539" w:rsidTr="00C45599">
        <w:trPr>
          <w:trHeight w:val="1147"/>
          <w:jc w:val="center"/>
        </w:trPr>
        <w:tc>
          <w:tcPr>
            <w:tcW w:w="5185" w:type="dxa"/>
            <w:tcBorders>
              <w:top w:val="nil"/>
              <w:left w:val="single" w:sz="4" w:space="0" w:color="7F7F7F"/>
              <w:bottom w:val="single" w:sz="4" w:space="0" w:color="7F7F7F"/>
              <w:right w:val="single" w:sz="4" w:space="0" w:color="7F7F7F"/>
            </w:tcBorders>
            <w:shd w:val="clear" w:color="auto" w:fill="FFFFFF" w:themeFill="background1"/>
            <w:noWrap/>
            <w:vAlign w:val="center"/>
            <w:hideMark/>
          </w:tcPr>
          <w:p w:rsidR="007E499C" w:rsidRPr="00310376" w:rsidRDefault="007E499C" w:rsidP="00B04539">
            <w:pPr>
              <w:spacing w:before="80" w:after="80"/>
              <w:rPr>
                <w:rFonts w:ascii="Arial" w:hAnsi="Arial" w:cs="Arial"/>
                <w:b/>
                <w:bCs/>
                <w:color w:val="000000" w:themeColor="text1"/>
                <w:sz w:val="24"/>
                <w:szCs w:val="24"/>
                <w:lang w:eastAsia="es-ES"/>
              </w:rPr>
            </w:pPr>
            <w:r w:rsidRPr="00310376">
              <w:rPr>
                <w:rFonts w:ascii="Arial" w:hAnsi="Arial" w:cs="Arial"/>
                <w:bCs/>
                <w:color w:val="000000" w:themeColor="text1"/>
                <w:sz w:val="24"/>
                <w:szCs w:val="24"/>
                <w:lang w:eastAsia="es-ES"/>
              </w:rPr>
              <w:t xml:space="preserve">Número de páginas vistas </w:t>
            </w:r>
          </w:p>
        </w:tc>
        <w:tc>
          <w:tcPr>
            <w:tcW w:w="1961" w:type="dxa"/>
            <w:tcBorders>
              <w:top w:val="nil"/>
              <w:left w:val="nil"/>
              <w:bottom w:val="single" w:sz="4" w:space="0" w:color="7F7F7F"/>
              <w:right w:val="single" w:sz="4" w:space="0" w:color="7F7F7F"/>
            </w:tcBorders>
            <w:shd w:val="clear" w:color="auto" w:fill="FFFFFF" w:themeFill="background1"/>
            <w:noWrap/>
            <w:vAlign w:val="center"/>
            <w:hideMark/>
          </w:tcPr>
          <w:p w:rsidR="007E499C" w:rsidRPr="00310376" w:rsidRDefault="004368DE" w:rsidP="00B04539">
            <w:pPr>
              <w:spacing w:before="80" w:after="80"/>
              <w:jc w:val="right"/>
              <w:rPr>
                <w:rFonts w:ascii="Arial" w:hAnsi="Arial" w:cs="Arial"/>
                <w:b/>
                <w:bCs/>
                <w:color w:val="000000" w:themeColor="text1"/>
                <w:sz w:val="24"/>
                <w:szCs w:val="24"/>
                <w:lang w:eastAsia="es-ES"/>
              </w:rPr>
            </w:pPr>
            <w:r>
              <w:rPr>
                <w:rFonts w:ascii="Arial" w:hAnsi="Arial" w:cs="Arial"/>
                <w:bCs/>
                <w:color w:val="000000" w:themeColor="text1"/>
                <w:sz w:val="24"/>
                <w:szCs w:val="24"/>
                <w:lang w:eastAsia="es-ES"/>
              </w:rPr>
              <w:t>3.418.</w:t>
            </w:r>
            <w:r w:rsidR="007E499C" w:rsidRPr="00310376">
              <w:rPr>
                <w:rFonts w:ascii="Arial" w:hAnsi="Arial" w:cs="Arial"/>
                <w:bCs/>
                <w:color w:val="000000" w:themeColor="text1"/>
                <w:sz w:val="24"/>
                <w:szCs w:val="24"/>
                <w:lang w:eastAsia="es-ES"/>
              </w:rPr>
              <w:t>458</w:t>
            </w:r>
          </w:p>
        </w:tc>
      </w:tr>
      <w:tr w:rsidR="00B04539" w:rsidRPr="00B04539" w:rsidTr="00C45599">
        <w:trPr>
          <w:trHeight w:val="1147"/>
          <w:jc w:val="center"/>
        </w:trPr>
        <w:tc>
          <w:tcPr>
            <w:tcW w:w="5185" w:type="dxa"/>
            <w:tcBorders>
              <w:top w:val="single" w:sz="4" w:space="0" w:color="7F7F7F"/>
              <w:left w:val="single" w:sz="4" w:space="0" w:color="7F7F7F"/>
              <w:bottom w:val="single" w:sz="4" w:space="0" w:color="7F7F7F"/>
              <w:right w:val="single" w:sz="4" w:space="0" w:color="7F7F7F"/>
            </w:tcBorders>
            <w:shd w:val="clear" w:color="auto" w:fill="ABE9FF"/>
            <w:noWrap/>
            <w:vAlign w:val="center"/>
            <w:hideMark/>
          </w:tcPr>
          <w:p w:rsidR="007E499C" w:rsidRPr="00310376" w:rsidRDefault="007E499C" w:rsidP="00B04539">
            <w:pPr>
              <w:spacing w:before="80" w:after="80"/>
              <w:rPr>
                <w:rFonts w:ascii="Arial" w:hAnsi="Arial" w:cs="Arial"/>
                <w:b/>
                <w:bCs/>
                <w:color w:val="000000" w:themeColor="text1"/>
                <w:sz w:val="24"/>
                <w:szCs w:val="24"/>
                <w:lang w:eastAsia="es-ES"/>
              </w:rPr>
            </w:pPr>
            <w:r w:rsidRPr="00310376">
              <w:rPr>
                <w:rFonts w:ascii="Arial" w:hAnsi="Arial" w:cs="Arial"/>
                <w:bCs/>
                <w:color w:val="000000" w:themeColor="text1"/>
                <w:sz w:val="24"/>
                <w:szCs w:val="24"/>
                <w:lang w:eastAsia="es-ES"/>
              </w:rPr>
              <w:t>Descargas</w:t>
            </w:r>
          </w:p>
        </w:tc>
        <w:tc>
          <w:tcPr>
            <w:tcW w:w="1961" w:type="dxa"/>
            <w:tcBorders>
              <w:top w:val="single" w:sz="4" w:space="0" w:color="7F7F7F"/>
              <w:left w:val="nil"/>
              <w:bottom w:val="single" w:sz="4" w:space="0" w:color="7F7F7F"/>
              <w:right w:val="single" w:sz="4" w:space="0" w:color="7F7F7F"/>
            </w:tcBorders>
            <w:shd w:val="clear" w:color="auto" w:fill="ABE9FF"/>
            <w:noWrap/>
            <w:vAlign w:val="center"/>
            <w:hideMark/>
          </w:tcPr>
          <w:p w:rsidR="007E499C" w:rsidRPr="00310376" w:rsidRDefault="004368DE" w:rsidP="00B04539">
            <w:pPr>
              <w:spacing w:before="80" w:after="80"/>
              <w:jc w:val="right"/>
              <w:rPr>
                <w:rFonts w:ascii="Arial" w:hAnsi="Arial" w:cs="Arial"/>
                <w:b/>
                <w:bCs/>
                <w:color w:val="000000" w:themeColor="text1"/>
                <w:sz w:val="24"/>
                <w:szCs w:val="24"/>
                <w:lang w:eastAsia="es-ES"/>
              </w:rPr>
            </w:pPr>
            <w:r>
              <w:rPr>
                <w:rFonts w:ascii="Arial" w:hAnsi="Arial" w:cs="Arial"/>
                <w:bCs/>
                <w:color w:val="000000" w:themeColor="text1"/>
                <w:sz w:val="24"/>
                <w:szCs w:val="24"/>
                <w:lang w:eastAsia="es-ES"/>
              </w:rPr>
              <w:t>329.</w:t>
            </w:r>
            <w:r w:rsidR="007E499C" w:rsidRPr="00310376">
              <w:rPr>
                <w:rFonts w:ascii="Arial" w:hAnsi="Arial" w:cs="Arial"/>
                <w:bCs/>
                <w:color w:val="000000" w:themeColor="text1"/>
                <w:sz w:val="24"/>
                <w:szCs w:val="24"/>
                <w:lang w:eastAsia="es-ES"/>
              </w:rPr>
              <w:t>707</w:t>
            </w:r>
          </w:p>
        </w:tc>
      </w:tr>
    </w:tbl>
    <w:p w:rsidR="009653BE" w:rsidRDefault="009653BE" w:rsidP="007E499C">
      <w:pPr>
        <w:pStyle w:val="Textodeprrafo"/>
        <w:rPr>
          <w:sz w:val="22"/>
          <w:szCs w:val="22"/>
        </w:rPr>
      </w:pPr>
    </w:p>
    <w:p w:rsidR="007E499C" w:rsidRDefault="007E499C" w:rsidP="007E499C">
      <w:pPr>
        <w:pStyle w:val="Textodeprrafo"/>
        <w:rPr>
          <w:sz w:val="22"/>
          <w:szCs w:val="22"/>
        </w:rPr>
      </w:pPr>
      <w:r w:rsidRPr="007E499C">
        <w:rPr>
          <w:sz w:val="22"/>
          <w:szCs w:val="22"/>
        </w:rPr>
        <w:t>Desglosado por meses, destacan los meses de febrero y marzo, como los meses</w:t>
      </w:r>
      <w:r w:rsidR="007E5914">
        <w:rPr>
          <w:sz w:val="22"/>
          <w:szCs w:val="22"/>
        </w:rPr>
        <w:t xml:space="preserve"> con más actividad en el P</w:t>
      </w:r>
      <w:r>
        <w:rPr>
          <w:sz w:val="22"/>
          <w:szCs w:val="22"/>
        </w:rPr>
        <w:t>ortal,</w:t>
      </w:r>
      <w:r w:rsidRPr="007E499C">
        <w:rPr>
          <w:sz w:val="22"/>
          <w:szCs w:val="22"/>
        </w:rPr>
        <w:t xml:space="preserve"> </w:t>
      </w:r>
      <w:r>
        <w:rPr>
          <w:sz w:val="22"/>
          <w:szCs w:val="22"/>
        </w:rPr>
        <w:t>m</w:t>
      </w:r>
      <w:r w:rsidRPr="007E499C">
        <w:rPr>
          <w:sz w:val="22"/>
          <w:szCs w:val="22"/>
        </w:rPr>
        <w:t xml:space="preserve">ientras que los meses de julio, agosto y diciembre son los de menor afluencia. </w:t>
      </w:r>
    </w:p>
    <w:p w:rsidR="007E499C" w:rsidRDefault="007E499C" w:rsidP="007E499C">
      <w:pPr>
        <w:pStyle w:val="Textodeprrafo"/>
        <w:rPr>
          <w:sz w:val="22"/>
          <w:szCs w:val="22"/>
        </w:rPr>
      </w:pPr>
    </w:p>
    <w:p w:rsidR="007E499C" w:rsidRDefault="007E499C" w:rsidP="007E499C">
      <w:pPr>
        <w:pStyle w:val="Textodeprrafo"/>
        <w:rPr>
          <w:sz w:val="22"/>
          <w:szCs w:val="22"/>
        </w:rPr>
      </w:pPr>
    </w:p>
    <w:p w:rsidR="009653BE" w:rsidRDefault="009653BE" w:rsidP="007E499C">
      <w:pPr>
        <w:pStyle w:val="Textodeprrafo"/>
      </w:pPr>
    </w:p>
    <w:p w:rsidR="007E499C" w:rsidRPr="004037EC" w:rsidRDefault="007E499C" w:rsidP="007E499C">
      <w:pPr>
        <w:pStyle w:val="Subttulo"/>
        <w:spacing w:before="0" w:line="20" w:lineRule="atLeast"/>
        <w:ind w:left="360"/>
        <w:rPr>
          <w:rFonts w:cs="Arial"/>
          <w:color w:val="2F5496"/>
        </w:rPr>
      </w:pPr>
      <w:r>
        <w:rPr>
          <w:rFonts w:cs="Arial"/>
          <w:color w:val="2F5496"/>
        </w:rPr>
        <w:t xml:space="preserve">Gráfico </w:t>
      </w:r>
      <w:r w:rsidR="005A57C4">
        <w:rPr>
          <w:rFonts w:cs="Arial"/>
          <w:color w:val="2F5496"/>
        </w:rPr>
        <w:t>4.</w:t>
      </w:r>
      <w:r>
        <w:rPr>
          <w:rFonts w:cs="Arial"/>
          <w:color w:val="2F5496"/>
        </w:rPr>
        <w:t>1: N</w:t>
      </w:r>
      <w:r w:rsidR="004368DE">
        <w:rPr>
          <w:rFonts w:cs="Arial"/>
          <w:color w:val="2F5496"/>
        </w:rPr>
        <w:t>.</w:t>
      </w:r>
      <w:r>
        <w:rPr>
          <w:rFonts w:cs="Arial"/>
          <w:color w:val="2F5496"/>
        </w:rPr>
        <w:t>º de páginas vistas, de visitas y de descargas. Año 2022</w:t>
      </w:r>
    </w:p>
    <w:p w:rsidR="007E499C" w:rsidRDefault="007E499C" w:rsidP="007E499C">
      <w:pPr>
        <w:pStyle w:val="Textodeprrafo"/>
        <w:jc w:val="center"/>
      </w:pPr>
      <w:r w:rsidRPr="004037EC">
        <w:rPr>
          <w:rFonts w:asciiTheme="minorHAnsi" w:hAnsiTheme="minorHAnsi"/>
          <w:noProof/>
          <w:lang w:eastAsia="es-ES" w:bidi="ar-SA"/>
        </w:rPr>
        <w:drawing>
          <wp:inline distT="0" distB="0" distL="0" distR="0" wp14:anchorId="05974B68" wp14:editId="183496CC">
            <wp:extent cx="3683635" cy="3399504"/>
            <wp:effectExtent l="0" t="0" r="12065" b="17145"/>
            <wp:docPr id="67" name="Gráfic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E499C" w:rsidRDefault="007E499C" w:rsidP="007E499C">
      <w:pPr>
        <w:pStyle w:val="Textodeprrafo"/>
        <w:jc w:val="center"/>
      </w:pPr>
    </w:p>
    <w:p w:rsidR="007E499C" w:rsidRPr="007E499C" w:rsidRDefault="007E499C" w:rsidP="007E499C">
      <w:pPr>
        <w:pStyle w:val="Textodeprrafo"/>
        <w:rPr>
          <w:sz w:val="22"/>
          <w:szCs w:val="22"/>
        </w:rPr>
      </w:pPr>
      <w:r w:rsidRPr="007E499C">
        <w:rPr>
          <w:sz w:val="22"/>
          <w:szCs w:val="22"/>
        </w:rPr>
        <w:t>Si nos centramos en el número de visitas al Portal, en el año 2022 se ha producido un ligero descenso del 4,2</w:t>
      </w:r>
      <w:r>
        <w:rPr>
          <w:sz w:val="22"/>
          <w:szCs w:val="22"/>
        </w:rPr>
        <w:t> </w:t>
      </w:r>
      <w:r w:rsidRPr="007E499C">
        <w:rPr>
          <w:sz w:val="22"/>
          <w:szCs w:val="22"/>
        </w:rPr>
        <w:t>% respecto al año 2021. No obstante, si se observa la evolución del gráfico, se puede apreciar en el año 2022 un aumento del 13,5</w:t>
      </w:r>
      <w:r>
        <w:rPr>
          <w:sz w:val="22"/>
          <w:szCs w:val="22"/>
        </w:rPr>
        <w:t> </w:t>
      </w:r>
      <w:r w:rsidRPr="007E499C">
        <w:rPr>
          <w:sz w:val="22"/>
          <w:szCs w:val="22"/>
        </w:rPr>
        <w:t>% de visitas con respecto al año 2019, año d</w:t>
      </w:r>
      <w:r w:rsidR="007E5914">
        <w:rPr>
          <w:sz w:val="22"/>
          <w:szCs w:val="22"/>
        </w:rPr>
        <w:t>e puesta en funcionamiento del P</w:t>
      </w:r>
      <w:r w:rsidRPr="007E499C">
        <w:rPr>
          <w:sz w:val="22"/>
          <w:szCs w:val="22"/>
        </w:rPr>
        <w:t xml:space="preserve">ortal. </w:t>
      </w:r>
    </w:p>
    <w:p w:rsidR="007E499C" w:rsidRPr="007E499C" w:rsidRDefault="007E499C" w:rsidP="007E499C">
      <w:pPr>
        <w:spacing w:before="240"/>
        <w:jc w:val="both"/>
        <w:rPr>
          <w:rFonts w:ascii="Arial" w:eastAsia="SimSun" w:hAnsi="Arial" w:cs="Arial"/>
          <w:b/>
          <w:kern w:val="3"/>
          <w:lang w:eastAsia="zh-CN" w:bidi="hi-IN"/>
        </w:rPr>
      </w:pPr>
      <w:r w:rsidRPr="007E499C">
        <w:rPr>
          <w:rFonts w:ascii="Arial" w:eastAsia="SimSun" w:hAnsi="Arial" w:cs="Arial"/>
          <w:kern w:val="3"/>
          <w:lang w:eastAsia="zh-CN" w:bidi="hi-IN"/>
        </w:rPr>
        <w:t>En dato acumulado, el Portal ha recibido hasta el cierre del año 2022, un total de 5</w:t>
      </w:r>
      <w:r w:rsidR="004368DE">
        <w:rPr>
          <w:rFonts w:ascii="Arial" w:eastAsia="SimSun" w:hAnsi="Arial" w:cs="Arial"/>
          <w:kern w:val="3"/>
          <w:lang w:eastAsia="zh-CN" w:bidi="hi-IN"/>
        </w:rPr>
        <w:t>.</w:t>
      </w:r>
      <w:r w:rsidRPr="007E499C">
        <w:rPr>
          <w:rFonts w:ascii="Arial" w:eastAsia="SimSun" w:hAnsi="Arial" w:cs="Arial"/>
          <w:kern w:val="3"/>
          <w:lang w:eastAsia="zh-CN" w:bidi="hi-IN"/>
        </w:rPr>
        <w:t>607</w:t>
      </w:r>
      <w:r w:rsidR="004368DE">
        <w:rPr>
          <w:rFonts w:ascii="Arial" w:eastAsia="SimSun" w:hAnsi="Arial" w:cs="Arial"/>
          <w:kern w:val="3"/>
          <w:lang w:eastAsia="zh-CN" w:bidi="hi-IN"/>
        </w:rPr>
        <w:t>.</w:t>
      </w:r>
      <w:r w:rsidRPr="007E499C">
        <w:rPr>
          <w:rFonts w:ascii="Arial" w:eastAsia="SimSun" w:hAnsi="Arial" w:cs="Arial"/>
          <w:kern w:val="3"/>
          <w:lang w:eastAsia="zh-CN" w:bidi="hi-IN"/>
        </w:rPr>
        <w:t xml:space="preserve">172 de visitas desde su puesta en marcha en el año 2019. </w:t>
      </w:r>
    </w:p>
    <w:p w:rsidR="007E499C" w:rsidRDefault="007E499C" w:rsidP="007E499C">
      <w:pPr>
        <w:pStyle w:val="Subttulo"/>
        <w:spacing w:before="0" w:line="20" w:lineRule="atLeast"/>
        <w:ind w:left="360"/>
        <w:rPr>
          <w:rFonts w:cs="Arial"/>
          <w:color w:val="2F5496"/>
        </w:rPr>
      </w:pPr>
      <w:bookmarkStart w:id="138" w:name="_Toc98333357"/>
      <w:r>
        <w:rPr>
          <w:rFonts w:cs="Arial"/>
          <w:color w:val="2F5496"/>
        </w:rPr>
        <w:t xml:space="preserve">Gráfico </w:t>
      </w:r>
      <w:r w:rsidR="005A57C4">
        <w:rPr>
          <w:rFonts w:cs="Arial"/>
          <w:color w:val="2F5496"/>
        </w:rPr>
        <w:t>4.</w:t>
      </w:r>
      <w:r>
        <w:rPr>
          <w:rFonts w:cs="Arial"/>
          <w:color w:val="2F5496"/>
        </w:rPr>
        <w:t>2</w:t>
      </w:r>
      <w:r w:rsidRPr="00D439C1">
        <w:rPr>
          <w:rFonts w:cs="Arial"/>
          <w:color w:val="2F5496"/>
        </w:rPr>
        <w:t xml:space="preserve">: </w:t>
      </w:r>
      <w:r>
        <w:rPr>
          <w:rFonts w:cs="Arial"/>
          <w:color w:val="2F5496"/>
        </w:rPr>
        <w:t>Evolución del número de</w:t>
      </w:r>
      <w:r w:rsidRPr="00D439C1">
        <w:rPr>
          <w:rFonts w:cs="Arial"/>
          <w:color w:val="2F5496"/>
        </w:rPr>
        <w:t xml:space="preserve"> visitas </w:t>
      </w:r>
      <w:r>
        <w:rPr>
          <w:rFonts w:cs="Arial"/>
          <w:color w:val="2F5496"/>
        </w:rPr>
        <w:t xml:space="preserve">anuales </w:t>
      </w:r>
      <w:r w:rsidRPr="00D439C1">
        <w:rPr>
          <w:rFonts w:cs="Arial"/>
          <w:color w:val="2F5496"/>
        </w:rPr>
        <w:t>al Portal de Transparencia</w:t>
      </w:r>
      <w:bookmarkEnd w:id="138"/>
    </w:p>
    <w:p w:rsidR="007E499C" w:rsidRDefault="007E499C" w:rsidP="007E499C">
      <w:pPr>
        <w:pStyle w:val="Textodeprrafo"/>
        <w:jc w:val="center"/>
      </w:pPr>
      <w:r w:rsidRPr="00C9070A">
        <w:rPr>
          <w:noProof/>
          <w:szCs w:val="20"/>
          <w:lang w:eastAsia="es-ES" w:bidi="ar-SA"/>
        </w:rPr>
        <w:drawing>
          <wp:inline distT="0" distB="0" distL="0" distR="0" wp14:anchorId="3489C48F" wp14:editId="2446817C">
            <wp:extent cx="4734233" cy="2197510"/>
            <wp:effectExtent l="0" t="0" r="15875" b="1270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E499C" w:rsidRPr="007E499C" w:rsidRDefault="007E499C" w:rsidP="007E499C">
      <w:pPr>
        <w:pStyle w:val="Textodeprrafo"/>
        <w:rPr>
          <w:sz w:val="22"/>
          <w:szCs w:val="22"/>
        </w:rPr>
      </w:pPr>
      <w:r w:rsidRPr="007E499C">
        <w:rPr>
          <w:sz w:val="22"/>
          <w:szCs w:val="22"/>
        </w:rPr>
        <w:t>En cuanto a las descargas, se produjo en el año 2022 un incremento del 9,2</w:t>
      </w:r>
      <w:r>
        <w:rPr>
          <w:sz w:val="22"/>
          <w:szCs w:val="22"/>
        </w:rPr>
        <w:t> </w:t>
      </w:r>
      <w:r w:rsidRPr="007E499C">
        <w:rPr>
          <w:sz w:val="22"/>
          <w:szCs w:val="22"/>
        </w:rPr>
        <w:t xml:space="preserve">% de las mismas con respecto al año 2021, y del </w:t>
      </w:r>
      <w:r w:rsidRPr="007E499C">
        <w:rPr>
          <w:color w:val="000000" w:themeColor="text1"/>
          <w:sz w:val="22"/>
          <w:szCs w:val="22"/>
        </w:rPr>
        <w:t>43,7</w:t>
      </w:r>
      <w:r>
        <w:rPr>
          <w:color w:val="000000" w:themeColor="text1"/>
          <w:sz w:val="22"/>
          <w:szCs w:val="22"/>
        </w:rPr>
        <w:t> </w:t>
      </w:r>
      <w:r w:rsidRPr="007E499C">
        <w:rPr>
          <w:sz w:val="22"/>
          <w:szCs w:val="22"/>
        </w:rPr>
        <w:t>% con respecto al 2020 lo que supone 100</w:t>
      </w:r>
      <w:r w:rsidR="004368DE">
        <w:rPr>
          <w:sz w:val="22"/>
          <w:szCs w:val="22"/>
        </w:rPr>
        <w:t>.</w:t>
      </w:r>
      <w:r w:rsidRPr="007E499C">
        <w:rPr>
          <w:sz w:val="22"/>
          <w:szCs w:val="22"/>
        </w:rPr>
        <w:t xml:space="preserve">284 descargas más que en el año 2020. </w:t>
      </w:r>
    </w:p>
    <w:p w:rsidR="007E499C" w:rsidRPr="007E499C" w:rsidRDefault="007E499C" w:rsidP="007E499C">
      <w:pPr>
        <w:pStyle w:val="Textodeprrafo"/>
        <w:rPr>
          <w:sz w:val="22"/>
          <w:szCs w:val="22"/>
        </w:rPr>
      </w:pPr>
      <w:r w:rsidRPr="007E499C">
        <w:rPr>
          <w:sz w:val="22"/>
          <w:szCs w:val="22"/>
        </w:rPr>
        <w:lastRenderedPageBreak/>
        <w:t>Desde el año 2019 hasta el cierre del 2022, el número total acum</w:t>
      </w:r>
      <w:r w:rsidR="004368DE">
        <w:rPr>
          <w:sz w:val="22"/>
          <w:szCs w:val="22"/>
        </w:rPr>
        <w:t>ulado de descargas ha sido de 1.233.</w:t>
      </w:r>
      <w:r w:rsidRPr="007E499C">
        <w:rPr>
          <w:sz w:val="22"/>
          <w:szCs w:val="22"/>
        </w:rPr>
        <w:t xml:space="preserve">468. </w:t>
      </w:r>
    </w:p>
    <w:p w:rsidR="007E499C" w:rsidRDefault="007E499C" w:rsidP="007E499C">
      <w:pPr>
        <w:pStyle w:val="Textodeprrafo"/>
      </w:pPr>
    </w:p>
    <w:p w:rsidR="007E499C" w:rsidRPr="00B707FF" w:rsidRDefault="007E499C" w:rsidP="007E499C">
      <w:pPr>
        <w:pStyle w:val="Subttulo"/>
        <w:spacing w:before="0" w:line="20" w:lineRule="atLeast"/>
        <w:ind w:left="360"/>
        <w:rPr>
          <w:rFonts w:cs="Arial"/>
          <w:color w:val="2F5496"/>
        </w:rPr>
      </w:pPr>
      <w:r>
        <w:rPr>
          <w:rFonts w:cs="Arial"/>
          <w:color w:val="2F5496"/>
        </w:rPr>
        <w:t xml:space="preserve">Gráfico </w:t>
      </w:r>
      <w:r w:rsidR="00D0148C">
        <w:rPr>
          <w:rFonts w:cs="Arial"/>
          <w:color w:val="2F5496"/>
        </w:rPr>
        <w:t>4.</w:t>
      </w:r>
      <w:r>
        <w:rPr>
          <w:rFonts w:cs="Arial"/>
          <w:color w:val="2F5496"/>
        </w:rPr>
        <w:t>3</w:t>
      </w:r>
      <w:r w:rsidRPr="00D439C1">
        <w:rPr>
          <w:rFonts w:cs="Arial"/>
          <w:color w:val="2F5496"/>
        </w:rPr>
        <w:t xml:space="preserve">: </w:t>
      </w:r>
      <w:r>
        <w:rPr>
          <w:rFonts w:cs="Arial"/>
          <w:color w:val="2F5496"/>
        </w:rPr>
        <w:t>Evolución del número de</w:t>
      </w:r>
      <w:r w:rsidRPr="00D439C1">
        <w:rPr>
          <w:rFonts w:cs="Arial"/>
          <w:color w:val="2F5496"/>
        </w:rPr>
        <w:t xml:space="preserve"> </w:t>
      </w:r>
      <w:r>
        <w:rPr>
          <w:rFonts w:cs="Arial"/>
          <w:color w:val="2F5496"/>
        </w:rPr>
        <w:t>descargas</w:t>
      </w:r>
      <w:r w:rsidRPr="00D439C1">
        <w:rPr>
          <w:rFonts w:cs="Arial"/>
          <w:color w:val="2F5496"/>
        </w:rPr>
        <w:t xml:space="preserve"> </w:t>
      </w:r>
      <w:r>
        <w:rPr>
          <w:rFonts w:cs="Arial"/>
          <w:color w:val="2F5496"/>
        </w:rPr>
        <w:t xml:space="preserve">anuales </w:t>
      </w:r>
      <w:r w:rsidRPr="00D439C1">
        <w:rPr>
          <w:rFonts w:cs="Arial"/>
          <w:color w:val="2F5496"/>
        </w:rPr>
        <w:t>al Portal de Transparencia.</w:t>
      </w:r>
    </w:p>
    <w:p w:rsidR="007E499C" w:rsidRPr="00C5177C" w:rsidRDefault="007E499C" w:rsidP="007E499C">
      <w:pPr>
        <w:pStyle w:val="Textodeprrafo"/>
        <w:jc w:val="center"/>
      </w:pPr>
      <w:r>
        <w:rPr>
          <w:noProof/>
          <w:lang w:eastAsia="es-ES" w:bidi="ar-SA"/>
        </w:rPr>
        <w:drawing>
          <wp:inline distT="0" distB="0" distL="0" distR="0" wp14:anchorId="3FE23C3A" wp14:editId="652D502A">
            <wp:extent cx="4704715" cy="2013155"/>
            <wp:effectExtent l="0" t="0" r="6985" b="635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E499C" w:rsidRPr="007E499C" w:rsidRDefault="007E499C" w:rsidP="007E499C">
      <w:pPr>
        <w:pStyle w:val="Textodeprrafo"/>
        <w:rPr>
          <w:sz w:val="22"/>
          <w:szCs w:val="22"/>
        </w:rPr>
      </w:pPr>
      <w:r w:rsidRPr="007E499C">
        <w:rPr>
          <w:sz w:val="22"/>
          <w:szCs w:val="22"/>
        </w:rPr>
        <w:t>En cuanto a las vías de acceso, el 80,6</w:t>
      </w:r>
      <w:r>
        <w:rPr>
          <w:sz w:val="22"/>
          <w:szCs w:val="22"/>
        </w:rPr>
        <w:t> </w:t>
      </w:r>
      <w:r w:rsidRPr="007E499C">
        <w:rPr>
          <w:sz w:val="22"/>
          <w:szCs w:val="22"/>
        </w:rPr>
        <w:t>% de las visitas accedieron utilizando motores de búsqueda en internet y un 16</w:t>
      </w:r>
      <w:r>
        <w:rPr>
          <w:sz w:val="22"/>
          <w:szCs w:val="22"/>
        </w:rPr>
        <w:t> </w:t>
      </w:r>
      <w:r w:rsidR="007E5914">
        <w:rPr>
          <w:sz w:val="22"/>
          <w:szCs w:val="22"/>
        </w:rPr>
        <w:t>% entraron directamente al P</w:t>
      </w:r>
      <w:r w:rsidRPr="007E499C">
        <w:rPr>
          <w:sz w:val="22"/>
          <w:szCs w:val="22"/>
        </w:rPr>
        <w:t>ortal, lo cual sugiere que ya conocían su URL o que la tenían guardada en el navegador. El 3</w:t>
      </w:r>
      <w:r>
        <w:rPr>
          <w:sz w:val="22"/>
          <w:szCs w:val="22"/>
        </w:rPr>
        <w:t> </w:t>
      </w:r>
      <w:r w:rsidRPr="007E499C">
        <w:rPr>
          <w:sz w:val="22"/>
          <w:szCs w:val="22"/>
        </w:rPr>
        <w:t>% de las visitas accedieron a través de otros sitios de internet y el 0,4</w:t>
      </w:r>
      <w:r>
        <w:rPr>
          <w:sz w:val="22"/>
          <w:szCs w:val="22"/>
        </w:rPr>
        <w:t> </w:t>
      </w:r>
      <w:r w:rsidRPr="007E499C">
        <w:rPr>
          <w:sz w:val="22"/>
          <w:szCs w:val="22"/>
        </w:rPr>
        <w:t>% utilizaron otras vías d</w:t>
      </w:r>
      <w:r>
        <w:rPr>
          <w:sz w:val="22"/>
          <w:szCs w:val="22"/>
        </w:rPr>
        <w:t>e acceso, como por ejemplo las redes s</w:t>
      </w:r>
      <w:r w:rsidRPr="007E499C">
        <w:rPr>
          <w:sz w:val="22"/>
          <w:szCs w:val="22"/>
        </w:rPr>
        <w:t xml:space="preserve">ociales. </w:t>
      </w:r>
    </w:p>
    <w:p w:rsidR="007E499C" w:rsidRDefault="007E499C" w:rsidP="007E499C">
      <w:pPr>
        <w:pStyle w:val="Textodeprrafo"/>
      </w:pPr>
    </w:p>
    <w:p w:rsidR="007E499C" w:rsidRDefault="007E499C" w:rsidP="007E499C">
      <w:pPr>
        <w:pStyle w:val="Subttulo"/>
        <w:spacing w:before="0" w:line="20" w:lineRule="atLeast"/>
        <w:outlineLvl w:val="9"/>
        <w:rPr>
          <w:noProof/>
          <w:lang w:val="es-ES" w:eastAsia="es-ES"/>
        </w:rPr>
      </w:pPr>
      <w:bookmarkStart w:id="139" w:name="_Toc98333358"/>
      <w:r>
        <w:rPr>
          <w:rFonts w:cs="Arial"/>
          <w:color w:val="2F5496"/>
        </w:rPr>
        <w:t>Gráfico</w:t>
      </w:r>
      <w:r w:rsidRPr="00D439C1">
        <w:rPr>
          <w:rFonts w:cs="Arial"/>
          <w:color w:val="2F5496"/>
        </w:rPr>
        <w:t xml:space="preserve"> </w:t>
      </w:r>
      <w:r w:rsidR="005A57C4">
        <w:rPr>
          <w:rFonts w:cs="Arial"/>
          <w:color w:val="2F5496"/>
        </w:rPr>
        <w:t>4.</w:t>
      </w:r>
      <w:r>
        <w:rPr>
          <w:rFonts w:cs="Arial"/>
          <w:color w:val="2F5496"/>
        </w:rPr>
        <w:t>4: Vías de acceso de</w:t>
      </w:r>
      <w:r w:rsidRPr="00D439C1">
        <w:rPr>
          <w:rFonts w:cs="Arial"/>
          <w:color w:val="2F5496"/>
        </w:rPr>
        <w:t xml:space="preserve"> las visitas al Portal de Transparencia</w:t>
      </w:r>
      <w:r>
        <w:rPr>
          <w:rFonts w:cs="Arial"/>
          <w:color w:val="2F5496"/>
        </w:rPr>
        <w:t xml:space="preserve"> en 2022</w:t>
      </w:r>
      <w:bookmarkEnd w:id="139"/>
    </w:p>
    <w:p w:rsidR="007E499C" w:rsidRPr="0045727C" w:rsidRDefault="007E499C" w:rsidP="007E499C">
      <w:pPr>
        <w:pStyle w:val="Subttulo"/>
        <w:spacing w:before="0" w:line="20" w:lineRule="atLeast"/>
        <w:outlineLvl w:val="9"/>
        <w:rPr>
          <w:rFonts w:eastAsia="SimSun"/>
        </w:rPr>
      </w:pPr>
      <w:r w:rsidRPr="00B707FF">
        <w:rPr>
          <w:noProof/>
          <w:sz w:val="20"/>
          <w:szCs w:val="20"/>
          <w:lang w:val="es-ES" w:eastAsia="es-ES"/>
        </w:rPr>
        <w:drawing>
          <wp:inline distT="0" distB="0" distL="0" distR="0" wp14:anchorId="166945F5" wp14:editId="5FAD94A7">
            <wp:extent cx="4829820" cy="2609487"/>
            <wp:effectExtent l="0" t="0" r="8890" b="698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45727C">
        <w:rPr>
          <w:rFonts w:eastAsia="SimSun"/>
        </w:rPr>
        <w:t xml:space="preserve"> </w:t>
      </w:r>
    </w:p>
    <w:p w:rsidR="007E499C" w:rsidRPr="007E499C" w:rsidRDefault="007E499C" w:rsidP="007E499C">
      <w:pPr>
        <w:pStyle w:val="Textodeprrafo"/>
        <w:rPr>
          <w:sz w:val="22"/>
          <w:szCs w:val="22"/>
        </w:rPr>
      </w:pPr>
      <w:r w:rsidRPr="007E499C">
        <w:rPr>
          <w:sz w:val="22"/>
          <w:szCs w:val="22"/>
        </w:rPr>
        <w:t>Por otra parte, los dispositivos más utilizados para las visitas al Portal son el ordenador y el teléfono móvil, entre ambos acaparan más del 95</w:t>
      </w:r>
      <w:r>
        <w:rPr>
          <w:sz w:val="22"/>
          <w:szCs w:val="22"/>
        </w:rPr>
        <w:t> </w:t>
      </w:r>
      <w:r w:rsidRPr="007E499C">
        <w:rPr>
          <w:sz w:val="22"/>
          <w:szCs w:val="22"/>
        </w:rPr>
        <w:t>% del modo de acceso al Portal. El 4,7</w:t>
      </w:r>
      <w:r>
        <w:rPr>
          <w:sz w:val="22"/>
          <w:szCs w:val="22"/>
        </w:rPr>
        <w:t> </w:t>
      </w:r>
      <w:r w:rsidRPr="007E499C">
        <w:rPr>
          <w:sz w:val="22"/>
          <w:szCs w:val="22"/>
        </w:rPr>
        <w:t xml:space="preserve">% restante se reparte entre las tabletas (las cuales incluyen los tabléfonos) y un grupo minoritario de dispositivos entre los que se encuentran, por ejemplo, la televisión o la consola. </w:t>
      </w:r>
    </w:p>
    <w:p w:rsidR="007E499C" w:rsidRDefault="007E499C">
      <w:pPr>
        <w:rPr>
          <w:rFonts w:ascii="Arial" w:eastAsia="SimSun" w:hAnsi="Arial" w:cs="Arial"/>
          <w:kern w:val="3"/>
          <w:sz w:val="20"/>
          <w:szCs w:val="24"/>
          <w:lang w:eastAsia="zh-CN" w:bidi="hi-IN"/>
        </w:rPr>
      </w:pPr>
      <w:r>
        <w:br w:type="page"/>
      </w:r>
    </w:p>
    <w:p w:rsidR="007E499C" w:rsidRPr="00217C9B" w:rsidRDefault="007E499C" w:rsidP="007E499C">
      <w:pPr>
        <w:pStyle w:val="Textodeprrafo"/>
        <w:jc w:val="center"/>
      </w:pPr>
    </w:p>
    <w:p w:rsidR="007E499C" w:rsidRDefault="007E499C" w:rsidP="007E499C">
      <w:pPr>
        <w:pStyle w:val="Subttulo"/>
        <w:spacing w:before="0" w:line="20" w:lineRule="atLeast"/>
        <w:rPr>
          <w:rFonts w:cs="Arial"/>
          <w:color w:val="2F5496"/>
        </w:rPr>
      </w:pPr>
      <w:bookmarkStart w:id="140" w:name="_Toc98333360"/>
      <w:r>
        <w:rPr>
          <w:rFonts w:cs="Arial"/>
          <w:color w:val="2F5496"/>
        </w:rPr>
        <w:t>Gráfico</w:t>
      </w:r>
      <w:r w:rsidRPr="00D439C1">
        <w:rPr>
          <w:rFonts w:cs="Arial"/>
          <w:color w:val="2F5496"/>
        </w:rPr>
        <w:t xml:space="preserve"> </w:t>
      </w:r>
      <w:r w:rsidR="005A57C4">
        <w:rPr>
          <w:rFonts w:cs="Arial"/>
          <w:color w:val="2F5496"/>
        </w:rPr>
        <w:t>4.</w:t>
      </w:r>
      <w:r>
        <w:rPr>
          <w:rFonts w:cs="Arial"/>
          <w:color w:val="2F5496"/>
        </w:rPr>
        <w:t>5: Dispositivos utilizados para</w:t>
      </w:r>
      <w:r w:rsidRPr="00D439C1">
        <w:rPr>
          <w:rFonts w:cs="Arial"/>
          <w:color w:val="2F5496"/>
        </w:rPr>
        <w:t xml:space="preserve"> las visitas al Portal de Transparencia</w:t>
      </w:r>
      <w:r>
        <w:rPr>
          <w:rFonts w:cs="Arial"/>
          <w:color w:val="2F5496"/>
        </w:rPr>
        <w:t xml:space="preserve"> en 2022</w:t>
      </w:r>
      <w:bookmarkEnd w:id="140"/>
    </w:p>
    <w:p w:rsidR="007E499C" w:rsidRDefault="007E499C" w:rsidP="007E499C">
      <w:pPr>
        <w:pStyle w:val="Subttulo"/>
        <w:spacing w:before="0" w:line="20" w:lineRule="atLeast"/>
        <w:rPr>
          <w:rFonts w:cs="Arial"/>
          <w:color w:val="2F5496"/>
        </w:rPr>
      </w:pPr>
      <w:r>
        <w:rPr>
          <w:noProof/>
          <w:lang w:val="es-ES" w:eastAsia="es-ES"/>
        </w:rPr>
        <w:drawing>
          <wp:inline distT="0" distB="0" distL="0" distR="0" wp14:anchorId="212CC3E7" wp14:editId="4D644AB6">
            <wp:extent cx="4040505" cy="2256503"/>
            <wp:effectExtent l="0" t="0" r="10795" b="1714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E499C" w:rsidRPr="009653BE" w:rsidRDefault="007E499C" w:rsidP="007E499C">
      <w:pPr>
        <w:pStyle w:val="Subttulo"/>
        <w:spacing w:before="480"/>
        <w:ind w:left="720"/>
        <w:jc w:val="left"/>
        <w:rPr>
          <w:rFonts w:eastAsia="SimSun" w:cs="Arial"/>
          <w:color w:val="2E74B5"/>
          <w:sz w:val="22"/>
          <w:szCs w:val="22"/>
        </w:rPr>
      </w:pPr>
      <w:bookmarkStart w:id="141" w:name="_Toc98333364"/>
      <w:r w:rsidRPr="009653BE">
        <w:rPr>
          <w:rFonts w:eastAsia="SimSun" w:cs="Arial"/>
          <w:color w:val="2E74B5"/>
          <w:sz w:val="22"/>
          <w:szCs w:val="22"/>
        </w:rPr>
        <w:t>4.</w:t>
      </w:r>
      <w:r w:rsidR="009653BE" w:rsidRPr="009653BE">
        <w:rPr>
          <w:rFonts w:eastAsia="SimSun" w:cs="Arial"/>
          <w:color w:val="2E74B5"/>
          <w:sz w:val="22"/>
          <w:szCs w:val="22"/>
        </w:rPr>
        <w:t>1</w:t>
      </w:r>
      <w:r w:rsidRPr="009653BE">
        <w:rPr>
          <w:rFonts w:eastAsia="SimSun" w:cs="Arial"/>
          <w:color w:val="2E74B5"/>
          <w:sz w:val="22"/>
          <w:szCs w:val="22"/>
        </w:rPr>
        <w:t>.2. Origen de las visitas</w:t>
      </w:r>
      <w:bookmarkEnd w:id="136"/>
      <w:bookmarkEnd w:id="141"/>
      <w:r w:rsidR="005E02E8">
        <w:rPr>
          <w:rFonts w:eastAsia="SimSun" w:cs="Arial"/>
          <w:color w:val="2E74B5"/>
          <w:sz w:val="22"/>
          <w:szCs w:val="22"/>
        </w:rPr>
        <w:t>.</w:t>
      </w:r>
    </w:p>
    <w:p w:rsidR="007E499C" w:rsidRPr="007E499C" w:rsidRDefault="007E499C" w:rsidP="007E499C">
      <w:pPr>
        <w:pStyle w:val="Textodeprrafo"/>
        <w:rPr>
          <w:sz w:val="22"/>
          <w:szCs w:val="22"/>
        </w:rPr>
      </w:pPr>
      <w:r w:rsidRPr="007E499C">
        <w:rPr>
          <w:sz w:val="22"/>
          <w:szCs w:val="22"/>
        </w:rPr>
        <w:t>El 10,1</w:t>
      </w:r>
      <w:r>
        <w:rPr>
          <w:sz w:val="22"/>
          <w:szCs w:val="22"/>
        </w:rPr>
        <w:t> </w:t>
      </w:r>
      <w:r w:rsidRPr="007E499C">
        <w:rPr>
          <w:sz w:val="22"/>
          <w:szCs w:val="22"/>
        </w:rPr>
        <w:t xml:space="preserve">% de las visitas al Portal de Transparencia de la Comunidad de Madrid en el año 2022 se realizaron desde un país extranjero. Entre ellos, los que más nos frecuentaron fueron Rumanía (con </w:t>
      </w:r>
      <w:r w:rsidR="004368DE">
        <w:rPr>
          <w:sz w:val="22"/>
          <w:szCs w:val="22"/>
        </w:rPr>
        <w:t>45.</w:t>
      </w:r>
      <w:r w:rsidRPr="007E499C">
        <w:rPr>
          <w:sz w:val="22"/>
          <w:szCs w:val="22"/>
        </w:rPr>
        <w:t>361 v</w:t>
      </w:r>
      <w:r w:rsidR="004368DE">
        <w:rPr>
          <w:sz w:val="22"/>
          <w:szCs w:val="22"/>
        </w:rPr>
        <w:t>isitas) y Estados Unidos con 43.</w:t>
      </w:r>
      <w:r w:rsidRPr="007E499C">
        <w:rPr>
          <w:sz w:val="22"/>
          <w:szCs w:val="22"/>
        </w:rPr>
        <w:t xml:space="preserve">602 visitas. </w:t>
      </w:r>
    </w:p>
    <w:p w:rsidR="007E499C" w:rsidRPr="007E499C" w:rsidRDefault="007E499C" w:rsidP="007E499C">
      <w:pPr>
        <w:pStyle w:val="Textodeprrafo"/>
        <w:rPr>
          <w:sz w:val="22"/>
          <w:szCs w:val="22"/>
        </w:rPr>
      </w:pPr>
    </w:p>
    <w:p w:rsidR="007E499C" w:rsidRDefault="007E499C" w:rsidP="007E499C">
      <w:pPr>
        <w:pStyle w:val="Subttulo"/>
        <w:spacing w:before="0" w:line="20" w:lineRule="atLeast"/>
        <w:rPr>
          <w:rFonts w:cs="Arial"/>
          <w:color w:val="2F5496"/>
        </w:rPr>
      </w:pPr>
      <w:bookmarkStart w:id="142" w:name="_Toc98333365"/>
      <w:r w:rsidRPr="00D439C1">
        <w:rPr>
          <w:rFonts w:cs="Arial"/>
          <w:color w:val="2F5496"/>
        </w:rPr>
        <w:t xml:space="preserve">Tabla </w:t>
      </w:r>
      <w:r w:rsidR="005A57C4">
        <w:rPr>
          <w:rFonts w:cs="Arial"/>
          <w:color w:val="2F5496"/>
        </w:rPr>
        <w:t>4.</w:t>
      </w:r>
      <w:r>
        <w:rPr>
          <w:rFonts w:cs="Arial"/>
          <w:color w:val="2F5496"/>
        </w:rPr>
        <w:t>2: País de origen de</w:t>
      </w:r>
      <w:r w:rsidRPr="00D439C1">
        <w:rPr>
          <w:rFonts w:cs="Arial"/>
          <w:color w:val="2F5496"/>
        </w:rPr>
        <w:t xml:space="preserve"> las visitas al Portal de Transparencia</w:t>
      </w:r>
      <w:r>
        <w:rPr>
          <w:rFonts w:cs="Arial"/>
          <w:color w:val="2F5496"/>
        </w:rPr>
        <w:t xml:space="preserve"> en 2022</w:t>
      </w:r>
      <w:bookmarkEnd w:id="142"/>
    </w:p>
    <w:tbl>
      <w:tblPr>
        <w:tblW w:w="4242" w:type="dxa"/>
        <w:jc w:val="center"/>
        <w:shd w:val="clear" w:color="auto" w:fill="FFFFFF" w:themeFill="background1"/>
        <w:tblCellMar>
          <w:left w:w="70" w:type="dxa"/>
          <w:right w:w="70" w:type="dxa"/>
        </w:tblCellMar>
        <w:tblLook w:val="04A0" w:firstRow="1" w:lastRow="0" w:firstColumn="1" w:lastColumn="0" w:noHBand="0" w:noVBand="1"/>
      </w:tblPr>
      <w:tblGrid>
        <w:gridCol w:w="2787"/>
        <w:gridCol w:w="1455"/>
      </w:tblGrid>
      <w:tr w:rsidR="007E499C" w:rsidRPr="00432845" w:rsidTr="00C45599">
        <w:trPr>
          <w:trHeight w:val="326"/>
          <w:jc w:val="center"/>
        </w:trPr>
        <w:tc>
          <w:tcPr>
            <w:tcW w:w="2787"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rsidR="007E499C" w:rsidRPr="005A57C4" w:rsidRDefault="007E499C" w:rsidP="00D57F12">
            <w:pPr>
              <w:spacing w:before="80" w:after="80"/>
              <w:rPr>
                <w:rFonts w:ascii="Arial" w:hAnsi="Arial" w:cs="Arial"/>
                <w:b/>
                <w:color w:val="000000" w:themeColor="text1"/>
                <w:sz w:val="20"/>
                <w:szCs w:val="20"/>
                <w:lang w:eastAsia="es-ES"/>
              </w:rPr>
            </w:pPr>
            <w:r w:rsidRPr="005A57C4">
              <w:rPr>
                <w:rFonts w:ascii="Arial" w:hAnsi="Arial" w:cs="Arial"/>
                <w:b/>
                <w:color w:val="000000" w:themeColor="text1"/>
                <w:sz w:val="20"/>
                <w:szCs w:val="20"/>
                <w:lang w:eastAsia="es-ES"/>
              </w:rPr>
              <w:t>País</w:t>
            </w:r>
          </w:p>
        </w:tc>
        <w:tc>
          <w:tcPr>
            <w:tcW w:w="1455" w:type="dxa"/>
            <w:tcBorders>
              <w:top w:val="single" w:sz="4" w:space="0" w:color="auto"/>
              <w:left w:val="nil"/>
              <w:bottom w:val="single" w:sz="4" w:space="0" w:color="auto"/>
              <w:right w:val="single" w:sz="4" w:space="0" w:color="auto"/>
            </w:tcBorders>
            <w:shd w:val="clear" w:color="auto" w:fill="ABE9FF"/>
            <w:noWrap/>
            <w:vAlign w:val="center"/>
            <w:hideMark/>
          </w:tcPr>
          <w:p w:rsidR="007E499C" w:rsidRPr="005A57C4" w:rsidRDefault="007E499C" w:rsidP="00D57F12">
            <w:pPr>
              <w:spacing w:before="80" w:after="80"/>
              <w:rPr>
                <w:rFonts w:ascii="Arial" w:hAnsi="Arial" w:cs="Arial"/>
                <w:b/>
                <w:color w:val="000000" w:themeColor="text1"/>
                <w:sz w:val="20"/>
                <w:szCs w:val="20"/>
                <w:lang w:eastAsia="es-ES"/>
              </w:rPr>
            </w:pPr>
            <w:r w:rsidRPr="005A57C4">
              <w:rPr>
                <w:rFonts w:ascii="Arial" w:hAnsi="Arial" w:cs="Arial"/>
                <w:b/>
                <w:color w:val="000000" w:themeColor="text1"/>
                <w:sz w:val="20"/>
                <w:szCs w:val="20"/>
                <w:lang w:eastAsia="es-ES"/>
              </w:rPr>
              <w:t>% Visitas</w:t>
            </w:r>
          </w:p>
        </w:tc>
      </w:tr>
      <w:tr w:rsidR="007E499C" w:rsidRPr="0045727C" w:rsidTr="007E499C">
        <w:trPr>
          <w:trHeight w:val="326"/>
          <w:jc w:val="center"/>
        </w:trPr>
        <w:tc>
          <w:tcPr>
            <w:tcW w:w="2787"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E499C" w:rsidRPr="00432845" w:rsidRDefault="007E499C" w:rsidP="00D57F12">
            <w:pPr>
              <w:spacing w:before="80" w:after="80"/>
              <w:rPr>
                <w:rFonts w:ascii="Calibri" w:hAnsi="Calibri"/>
                <w:b/>
                <w:bCs/>
                <w:sz w:val="20"/>
                <w:szCs w:val="20"/>
                <w:lang w:eastAsia="es-ES"/>
              </w:rPr>
            </w:pPr>
            <w:r w:rsidRPr="00432845">
              <w:rPr>
                <w:rFonts w:ascii="Calibri" w:hAnsi="Calibri"/>
                <w:bCs/>
                <w:sz w:val="20"/>
                <w:szCs w:val="20"/>
                <w:lang w:eastAsia="es-ES"/>
              </w:rPr>
              <w:t>España</w:t>
            </w:r>
          </w:p>
        </w:tc>
        <w:tc>
          <w:tcPr>
            <w:tcW w:w="1455" w:type="dxa"/>
            <w:tcBorders>
              <w:top w:val="nil"/>
              <w:left w:val="nil"/>
              <w:bottom w:val="single" w:sz="4" w:space="0" w:color="auto"/>
              <w:right w:val="single" w:sz="4" w:space="0" w:color="auto"/>
            </w:tcBorders>
            <w:shd w:val="clear" w:color="auto" w:fill="FFFFFF" w:themeFill="background1"/>
            <w:noWrap/>
            <w:vAlign w:val="center"/>
            <w:hideMark/>
          </w:tcPr>
          <w:p w:rsidR="007E499C" w:rsidRPr="00432845" w:rsidRDefault="007E499C" w:rsidP="00D57F12">
            <w:pPr>
              <w:spacing w:before="80" w:after="80"/>
              <w:rPr>
                <w:rFonts w:ascii="Calibri" w:hAnsi="Calibri"/>
                <w:b/>
                <w:bCs/>
                <w:sz w:val="20"/>
                <w:szCs w:val="20"/>
                <w:lang w:eastAsia="es-ES"/>
              </w:rPr>
            </w:pPr>
            <w:r w:rsidRPr="00432845">
              <w:rPr>
                <w:rFonts w:ascii="Calibri" w:hAnsi="Calibri"/>
                <w:bCs/>
                <w:sz w:val="20"/>
                <w:szCs w:val="20"/>
                <w:lang w:eastAsia="es-ES"/>
              </w:rPr>
              <w:t>89,9%</w:t>
            </w:r>
          </w:p>
        </w:tc>
      </w:tr>
      <w:tr w:rsidR="007E499C" w:rsidRPr="0045727C" w:rsidTr="007E499C">
        <w:trPr>
          <w:trHeight w:val="326"/>
          <w:jc w:val="center"/>
        </w:trPr>
        <w:tc>
          <w:tcPr>
            <w:tcW w:w="2787"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E499C" w:rsidRPr="00432845" w:rsidRDefault="007E499C" w:rsidP="00D57F12">
            <w:pPr>
              <w:spacing w:before="80" w:after="80"/>
              <w:rPr>
                <w:rFonts w:ascii="Calibri" w:hAnsi="Calibri"/>
                <w:b/>
                <w:bCs/>
                <w:sz w:val="20"/>
                <w:szCs w:val="20"/>
                <w:lang w:eastAsia="es-ES"/>
              </w:rPr>
            </w:pPr>
            <w:r w:rsidRPr="00432845">
              <w:rPr>
                <w:rFonts w:ascii="Calibri" w:hAnsi="Calibri"/>
                <w:bCs/>
                <w:sz w:val="20"/>
                <w:szCs w:val="20"/>
                <w:lang w:eastAsia="es-ES"/>
              </w:rPr>
              <w:t>Rumanía</w:t>
            </w:r>
          </w:p>
        </w:tc>
        <w:tc>
          <w:tcPr>
            <w:tcW w:w="1455" w:type="dxa"/>
            <w:tcBorders>
              <w:top w:val="nil"/>
              <w:left w:val="nil"/>
              <w:bottom w:val="single" w:sz="4" w:space="0" w:color="auto"/>
              <w:right w:val="single" w:sz="4" w:space="0" w:color="auto"/>
            </w:tcBorders>
            <w:shd w:val="clear" w:color="auto" w:fill="FFFFFF" w:themeFill="background1"/>
            <w:noWrap/>
            <w:vAlign w:val="center"/>
            <w:hideMark/>
          </w:tcPr>
          <w:p w:rsidR="007E499C" w:rsidRPr="00432845" w:rsidRDefault="007E499C" w:rsidP="00D57F12">
            <w:pPr>
              <w:spacing w:before="80" w:after="80"/>
              <w:rPr>
                <w:rFonts w:ascii="Calibri" w:hAnsi="Calibri"/>
                <w:b/>
                <w:bCs/>
                <w:sz w:val="20"/>
                <w:szCs w:val="20"/>
                <w:lang w:eastAsia="es-ES"/>
              </w:rPr>
            </w:pPr>
            <w:r w:rsidRPr="00432845">
              <w:rPr>
                <w:rFonts w:ascii="Calibri" w:hAnsi="Calibri"/>
                <w:bCs/>
                <w:sz w:val="20"/>
                <w:szCs w:val="20"/>
                <w:lang w:eastAsia="es-ES"/>
              </w:rPr>
              <w:t>3,1%</w:t>
            </w:r>
          </w:p>
        </w:tc>
      </w:tr>
      <w:tr w:rsidR="007E499C" w:rsidRPr="0045727C" w:rsidTr="007E499C">
        <w:trPr>
          <w:trHeight w:val="326"/>
          <w:jc w:val="center"/>
        </w:trPr>
        <w:tc>
          <w:tcPr>
            <w:tcW w:w="2787"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E499C" w:rsidRPr="00432845" w:rsidRDefault="007E499C" w:rsidP="00D57F12">
            <w:pPr>
              <w:spacing w:before="80" w:after="80"/>
              <w:rPr>
                <w:rFonts w:ascii="Calibri" w:hAnsi="Calibri"/>
                <w:b/>
                <w:bCs/>
                <w:sz w:val="20"/>
                <w:szCs w:val="20"/>
                <w:lang w:eastAsia="es-ES"/>
              </w:rPr>
            </w:pPr>
            <w:r w:rsidRPr="00432845">
              <w:rPr>
                <w:rFonts w:ascii="Calibri" w:hAnsi="Calibri"/>
                <w:bCs/>
                <w:sz w:val="20"/>
                <w:szCs w:val="20"/>
                <w:lang w:eastAsia="es-ES"/>
              </w:rPr>
              <w:t>Estados Unidos</w:t>
            </w:r>
          </w:p>
        </w:tc>
        <w:tc>
          <w:tcPr>
            <w:tcW w:w="1455" w:type="dxa"/>
            <w:tcBorders>
              <w:top w:val="nil"/>
              <w:left w:val="nil"/>
              <w:bottom w:val="single" w:sz="4" w:space="0" w:color="auto"/>
              <w:right w:val="single" w:sz="4" w:space="0" w:color="auto"/>
            </w:tcBorders>
            <w:shd w:val="clear" w:color="auto" w:fill="FFFFFF" w:themeFill="background1"/>
            <w:noWrap/>
            <w:vAlign w:val="center"/>
            <w:hideMark/>
          </w:tcPr>
          <w:p w:rsidR="007E499C" w:rsidRPr="00432845" w:rsidRDefault="007E499C" w:rsidP="00D57F12">
            <w:pPr>
              <w:spacing w:before="80" w:after="80"/>
              <w:rPr>
                <w:rFonts w:ascii="Calibri" w:hAnsi="Calibri"/>
                <w:b/>
                <w:bCs/>
                <w:sz w:val="20"/>
                <w:szCs w:val="20"/>
                <w:lang w:eastAsia="es-ES"/>
              </w:rPr>
            </w:pPr>
            <w:r w:rsidRPr="00432845">
              <w:rPr>
                <w:rFonts w:ascii="Calibri" w:hAnsi="Calibri"/>
                <w:bCs/>
                <w:sz w:val="20"/>
                <w:szCs w:val="20"/>
                <w:lang w:eastAsia="es-ES"/>
              </w:rPr>
              <w:t>3,0%</w:t>
            </w:r>
          </w:p>
        </w:tc>
      </w:tr>
      <w:tr w:rsidR="007E499C" w:rsidRPr="0045727C" w:rsidTr="007E499C">
        <w:trPr>
          <w:trHeight w:val="326"/>
          <w:jc w:val="center"/>
        </w:trPr>
        <w:tc>
          <w:tcPr>
            <w:tcW w:w="2787"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E499C" w:rsidRPr="00432845" w:rsidRDefault="007E499C" w:rsidP="00D57F12">
            <w:pPr>
              <w:spacing w:before="80" w:after="80"/>
              <w:rPr>
                <w:rFonts w:ascii="Calibri" w:hAnsi="Calibri"/>
                <w:b/>
                <w:bCs/>
                <w:sz w:val="20"/>
                <w:szCs w:val="20"/>
                <w:lang w:eastAsia="es-ES"/>
              </w:rPr>
            </w:pPr>
            <w:r w:rsidRPr="00432845">
              <w:rPr>
                <w:rFonts w:ascii="Calibri" w:hAnsi="Calibri"/>
                <w:bCs/>
                <w:sz w:val="20"/>
                <w:szCs w:val="20"/>
                <w:lang w:eastAsia="es-ES"/>
              </w:rPr>
              <w:t>Francia</w:t>
            </w:r>
          </w:p>
        </w:tc>
        <w:tc>
          <w:tcPr>
            <w:tcW w:w="1455" w:type="dxa"/>
            <w:tcBorders>
              <w:top w:val="nil"/>
              <w:left w:val="nil"/>
              <w:bottom w:val="single" w:sz="4" w:space="0" w:color="auto"/>
              <w:right w:val="single" w:sz="4" w:space="0" w:color="auto"/>
            </w:tcBorders>
            <w:shd w:val="clear" w:color="auto" w:fill="FFFFFF" w:themeFill="background1"/>
            <w:noWrap/>
            <w:vAlign w:val="center"/>
            <w:hideMark/>
          </w:tcPr>
          <w:p w:rsidR="007E499C" w:rsidRPr="00432845" w:rsidRDefault="007E499C" w:rsidP="00D57F12">
            <w:pPr>
              <w:spacing w:before="80" w:after="80"/>
              <w:rPr>
                <w:rFonts w:ascii="Calibri" w:hAnsi="Calibri"/>
                <w:b/>
                <w:bCs/>
                <w:sz w:val="20"/>
                <w:szCs w:val="20"/>
                <w:lang w:eastAsia="es-ES"/>
              </w:rPr>
            </w:pPr>
            <w:r w:rsidRPr="00432845">
              <w:rPr>
                <w:rFonts w:ascii="Calibri" w:hAnsi="Calibri"/>
                <w:bCs/>
                <w:sz w:val="20"/>
                <w:szCs w:val="20"/>
                <w:lang w:eastAsia="es-ES"/>
              </w:rPr>
              <w:t>0,6%</w:t>
            </w:r>
          </w:p>
        </w:tc>
      </w:tr>
      <w:tr w:rsidR="007E499C" w:rsidRPr="0045727C" w:rsidTr="007E499C">
        <w:trPr>
          <w:trHeight w:val="326"/>
          <w:jc w:val="center"/>
        </w:trPr>
        <w:tc>
          <w:tcPr>
            <w:tcW w:w="2787"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E499C" w:rsidRPr="00432845" w:rsidRDefault="007E499C" w:rsidP="00D57F12">
            <w:pPr>
              <w:spacing w:before="80" w:after="80"/>
              <w:rPr>
                <w:rFonts w:ascii="Calibri" w:hAnsi="Calibri"/>
                <w:b/>
                <w:bCs/>
                <w:sz w:val="20"/>
                <w:szCs w:val="20"/>
                <w:lang w:eastAsia="es-ES"/>
              </w:rPr>
            </w:pPr>
            <w:r w:rsidRPr="00432845">
              <w:rPr>
                <w:rFonts w:ascii="Calibri" w:hAnsi="Calibri"/>
                <w:bCs/>
                <w:sz w:val="20"/>
                <w:szCs w:val="20"/>
                <w:lang w:eastAsia="es-ES"/>
              </w:rPr>
              <w:t>Reino Unido</w:t>
            </w:r>
          </w:p>
        </w:tc>
        <w:tc>
          <w:tcPr>
            <w:tcW w:w="1455" w:type="dxa"/>
            <w:tcBorders>
              <w:top w:val="nil"/>
              <w:left w:val="nil"/>
              <w:bottom w:val="single" w:sz="4" w:space="0" w:color="auto"/>
              <w:right w:val="single" w:sz="4" w:space="0" w:color="auto"/>
            </w:tcBorders>
            <w:shd w:val="clear" w:color="auto" w:fill="FFFFFF" w:themeFill="background1"/>
            <w:noWrap/>
            <w:vAlign w:val="center"/>
            <w:hideMark/>
          </w:tcPr>
          <w:p w:rsidR="007E499C" w:rsidRPr="00432845" w:rsidRDefault="007E499C" w:rsidP="00D57F12">
            <w:pPr>
              <w:spacing w:before="80" w:after="80"/>
              <w:rPr>
                <w:rFonts w:ascii="Calibri" w:hAnsi="Calibri"/>
                <w:b/>
                <w:bCs/>
                <w:sz w:val="20"/>
                <w:szCs w:val="20"/>
                <w:lang w:eastAsia="es-ES"/>
              </w:rPr>
            </w:pPr>
            <w:r w:rsidRPr="00432845">
              <w:rPr>
                <w:rFonts w:ascii="Calibri" w:hAnsi="Calibri"/>
                <w:bCs/>
                <w:sz w:val="20"/>
                <w:szCs w:val="20"/>
                <w:lang w:eastAsia="es-ES"/>
              </w:rPr>
              <w:t>0,4%</w:t>
            </w:r>
          </w:p>
        </w:tc>
      </w:tr>
      <w:tr w:rsidR="007E499C" w:rsidRPr="0045727C" w:rsidTr="007E499C">
        <w:trPr>
          <w:trHeight w:val="326"/>
          <w:jc w:val="center"/>
        </w:trPr>
        <w:tc>
          <w:tcPr>
            <w:tcW w:w="2787"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E499C" w:rsidRPr="00432845" w:rsidRDefault="007E499C" w:rsidP="00D57F12">
            <w:pPr>
              <w:spacing w:before="80" w:after="80"/>
              <w:rPr>
                <w:rFonts w:ascii="Calibri" w:hAnsi="Calibri"/>
                <w:b/>
                <w:bCs/>
                <w:sz w:val="20"/>
                <w:szCs w:val="20"/>
                <w:lang w:eastAsia="es-ES"/>
              </w:rPr>
            </w:pPr>
            <w:r w:rsidRPr="00432845">
              <w:rPr>
                <w:rFonts w:ascii="Calibri" w:hAnsi="Calibri"/>
                <w:bCs/>
                <w:sz w:val="20"/>
                <w:szCs w:val="20"/>
                <w:lang w:eastAsia="es-ES"/>
              </w:rPr>
              <w:t>México</w:t>
            </w:r>
          </w:p>
        </w:tc>
        <w:tc>
          <w:tcPr>
            <w:tcW w:w="1455" w:type="dxa"/>
            <w:tcBorders>
              <w:top w:val="nil"/>
              <w:left w:val="nil"/>
              <w:bottom w:val="single" w:sz="4" w:space="0" w:color="auto"/>
              <w:right w:val="single" w:sz="4" w:space="0" w:color="auto"/>
            </w:tcBorders>
            <w:shd w:val="clear" w:color="auto" w:fill="FFFFFF" w:themeFill="background1"/>
            <w:noWrap/>
            <w:vAlign w:val="center"/>
            <w:hideMark/>
          </w:tcPr>
          <w:p w:rsidR="007E499C" w:rsidRPr="00432845" w:rsidRDefault="007E499C" w:rsidP="00D57F12">
            <w:pPr>
              <w:spacing w:before="80" w:after="80"/>
              <w:rPr>
                <w:rFonts w:ascii="Calibri" w:hAnsi="Calibri"/>
                <w:b/>
                <w:bCs/>
                <w:sz w:val="20"/>
                <w:szCs w:val="20"/>
                <w:lang w:eastAsia="es-ES"/>
              </w:rPr>
            </w:pPr>
            <w:r w:rsidRPr="00432845">
              <w:rPr>
                <w:rFonts w:ascii="Calibri" w:hAnsi="Calibri"/>
                <w:bCs/>
                <w:sz w:val="20"/>
                <w:szCs w:val="20"/>
                <w:lang w:eastAsia="es-ES"/>
              </w:rPr>
              <w:t>0,3%</w:t>
            </w:r>
          </w:p>
        </w:tc>
      </w:tr>
      <w:tr w:rsidR="007E499C" w:rsidRPr="0045727C" w:rsidTr="007E499C">
        <w:trPr>
          <w:trHeight w:val="326"/>
          <w:jc w:val="center"/>
        </w:trPr>
        <w:tc>
          <w:tcPr>
            <w:tcW w:w="2787"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E499C" w:rsidRPr="00432845" w:rsidRDefault="007E499C" w:rsidP="00D57F12">
            <w:pPr>
              <w:spacing w:before="80" w:after="80"/>
              <w:rPr>
                <w:rFonts w:ascii="Calibri" w:hAnsi="Calibri"/>
                <w:b/>
                <w:bCs/>
                <w:sz w:val="20"/>
                <w:szCs w:val="20"/>
                <w:lang w:eastAsia="es-ES"/>
              </w:rPr>
            </w:pPr>
            <w:r w:rsidRPr="00432845">
              <w:rPr>
                <w:rFonts w:ascii="Calibri" w:hAnsi="Calibri"/>
                <w:bCs/>
                <w:sz w:val="20"/>
                <w:szCs w:val="20"/>
                <w:lang w:eastAsia="es-ES"/>
              </w:rPr>
              <w:t>Alemania</w:t>
            </w:r>
          </w:p>
        </w:tc>
        <w:tc>
          <w:tcPr>
            <w:tcW w:w="1455" w:type="dxa"/>
            <w:tcBorders>
              <w:top w:val="nil"/>
              <w:left w:val="nil"/>
              <w:bottom w:val="single" w:sz="4" w:space="0" w:color="auto"/>
              <w:right w:val="single" w:sz="4" w:space="0" w:color="auto"/>
            </w:tcBorders>
            <w:shd w:val="clear" w:color="auto" w:fill="FFFFFF" w:themeFill="background1"/>
            <w:noWrap/>
            <w:vAlign w:val="center"/>
            <w:hideMark/>
          </w:tcPr>
          <w:p w:rsidR="007E499C" w:rsidRPr="00432845" w:rsidRDefault="007E499C" w:rsidP="00D57F12">
            <w:pPr>
              <w:spacing w:before="80" w:after="80"/>
              <w:rPr>
                <w:rFonts w:ascii="Calibri" w:hAnsi="Calibri"/>
                <w:b/>
                <w:bCs/>
                <w:sz w:val="20"/>
                <w:szCs w:val="20"/>
                <w:lang w:eastAsia="es-ES"/>
              </w:rPr>
            </w:pPr>
            <w:r w:rsidRPr="00432845">
              <w:rPr>
                <w:rFonts w:ascii="Calibri" w:hAnsi="Calibri"/>
                <w:bCs/>
                <w:sz w:val="20"/>
                <w:szCs w:val="20"/>
                <w:lang w:eastAsia="es-ES"/>
              </w:rPr>
              <w:t>0,3%</w:t>
            </w:r>
          </w:p>
        </w:tc>
      </w:tr>
      <w:tr w:rsidR="007E499C" w:rsidRPr="0045727C" w:rsidTr="007E499C">
        <w:trPr>
          <w:trHeight w:val="326"/>
          <w:jc w:val="center"/>
        </w:trPr>
        <w:tc>
          <w:tcPr>
            <w:tcW w:w="2787"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E499C" w:rsidRPr="00432845" w:rsidRDefault="007E499C" w:rsidP="00D57F12">
            <w:pPr>
              <w:spacing w:before="80" w:after="80"/>
              <w:rPr>
                <w:rFonts w:ascii="Calibri" w:hAnsi="Calibri"/>
                <w:b/>
                <w:bCs/>
                <w:sz w:val="20"/>
                <w:szCs w:val="20"/>
                <w:lang w:eastAsia="es-ES"/>
              </w:rPr>
            </w:pPr>
            <w:r w:rsidRPr="00432845">
              <w:rPr>
                <w:rFonts w:ascii="Calibri" w:hAnsi="Calibri"/>
                <w:bCs/>
                <w:sz w:val="20"/>
                <w:szCs w:val="20"/>
                <w:lang w:eastAsia="es-ES"/>
              </w:rPr>
              <w:t>Israel</w:t>
            </w:r>
          </w:p>
        </w:tc>
        <w:tc>
          <w:tcPr>
            <w:tcW w:w="1455" w:type="dxa"/>
            <w:tcBorders>
              <w:top w:val="nil"/>
              <w:left w:val="nil"/>
              <w:bottom w:val="single" w:sz="4" w:space="0" w:color="auto"/>
              <w:right w:val="single" w:sz="4" w:space="0" w:color="auto"/>
            </w:tcBorders>
            <w:shd w:val="clear" w:color="auto" w:fill="FFFFFF" w:themeFill="background1"/>
            <w:noWrap/>
            <w:vAlign w:val="center"/>
            <w:hideMark/>
          </w:tcPr>
          <w:p w:rsidR="007E499C" w:rsidRPr="00432845" w:rsidRDefault="007E499C" w:rsidP="00D57F12">
            <w:pPr>
              <w:spacing w:before="80" w:after="80"/>
              <w:rPr>
                <w:rFonts w:ascii="Calibri" w:hAnsi="Calibri"/>
                <w:b/>
                <w:bCs/>
                <w:sz w:val="20"/>
                <w:szCs w:val="20"/>
                <w:lang w:eastAsia="es-ES"/>
              </w:rPr>
            </w:pPr>
            <w:r w:rsidRPr="00432845">
              <w:rPr>
                <w:rFonts w:ascii="Calibri" w:hAnsi="Calibri"/>
                <w:bCs/>
                <w:sz w:val="20"/>
                <w:szCs w:val="20"/>
                <w:lang w:eastAsia="es-ES"/>
              </w:rPr>
              <w:t>0,2%</w:t>
            </w:r>
          </w:p>
        </w:tc>
      </w:tr>
      <w:tr w:rsidR="007E499C" w:rsidRPr="0045727C" w:rsidTr="007E499C">
        <w:trPr>
          <w:trHeight w:val="326"/>
          <w:jc w:val="center"/>
        </w:trPr>
        <w:tc>
          <w:tcPr>
            <w:tcW w:w="2787"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E499C" w:rsidRPr="00432845" w:rsidRDefault="007E499C" w:rsidP="00D57F12">
            <w:pPr>
              <w:spacing w:before="80" w:after="80"/>
              <w:rPr>
                <w:rFonts w:ascii="Calibri" w:hAnsi="Calibri"/>
                <w:b/>
                <w:bCs/>
                <w:sz w:val="20"/>
                <w:szCs w:val="20"/>
                <w:lang w:eastAsia="es-ES"/>
              </w:rPr>
            </w:pPr>
            <w:r w:rsidRPr="00432845">
              <w:rPr>
                <w:rFonts w:ascii="Calibri" w:hAnsi="Calibri"/>
                <w:bCs/>
                <w:sz w:val="20"/>
                <w:szCs w:val="20"/>
                <w:lang w:eastAsia="es-ES"/>
              </w:rPr>
              <w:t>Colombia</w:t>
            </w:r>
          </w:p>
        </w:tc>
        <w:tc>
          <w:tcPr>
            <w:tcW w:w="1455" w:type="dxa"/>
            <w:tcBorders>
              <w:top w:val="nil"/>
              <w:left w:val="nil"/>
              <w:bottom w:val="single" w:sz="4" w:space="0" w:color="auto"/>
              <w:right w:val="single" w:sz="4" w:space="0" w:color="auto"/>
            </w:tcBorders>
            <w:shd w:val="clear" w:color="auto" w:fill="FFFFFF" w:themeFill="background1"/>
            <w:noWrap/>
            <w:vAlign w:val="center"/>
            <w:hideMark/>
          </w:tcPr>
          <w:p w:rsidR="007E499C" w:rsidRPr="00432845" w:rsidRDefault="007E499C" w:rsidP="00D57F12">
            <w:pPr>
              <w:spacing w:before="80" w:after="80"/>
              <w:rPr>
                <w:rFonts w:ascii="Calibri" w:hAnsi="Calibri"/>
                <w:b/>
                <w:bCs/>
                <w:sz w:val="20"/>
                <w:szCs w:val="20"/>
                <w:lang w:eastAsia="es-ES"/>
              </w:rPr>
            </w:pPr>
            <w:r w:rsidRPr="00432845">
              <w:rPr>
                <w:rFonts w:ascii="Calibri" w:hAnsi="Calibri"/>
                <w:bCs/>
                <w:sz w:val="20"/>
                <w:szCs w:val="20"/>
                <w:lang w:eastAsia="es-ES"/>
              </w:rPr>
              <w:t>0,2%</w:t>
            </w:r>
          </w:p>
        </w:tc>
      </w:tr>
      <w:tr w:rsidR="007E499C" w:rsidRPr="0045727C" w:rsidTr="007E499C">
        <w:trPr>
          <w:trHeight w:val="326"/>
          <w:jc w:val="center"/>
        </w:trPr>
        <w:tc>
          <w:tcPr>
            <w:tcW w:w="2787"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E499C" w:rsidRPr="00432845" w:rsidRDefault="007E499C" w:rsidP="00D57F12">
            <w:pPr>
              <w:spacing w:before="80" w:after="80"/>
              <w:rPr>
                <w:rFonts w:ascii="Calibri" w:hAnsi="Calibri"/>
                <w:b/>
                <w:bCs/>
                <w:sz w:val="20"/>
                <w:szCs w:val="20"/>
                <w:lang w:eastAsia="es-ES"/>
              </w:rPr>
            </w:pPr>
            <w:r w:rsidRPr="00432845">
              <w:rPr>
                <w:rFonts w:ascii="Calibri" w:hAnsi="Calibri"/>
                <w:bCs/>
                <w:sz w:val="20"/>
                <w:szCs w:val="20"/>
                <w:lang w:eastAsia="es-ES"/>
              </w:rPr>
              <w:t>Perú</w:t>
            </w:r>
          </w:p>
        </w:tc>
        <w:tc>
          <w:tcPr>
            <w:tcW w:w="1455" w:type="dxa"/>
            <w:tcBorders>
              <w:top w:val="nil"/>
              <w:left w:val="nil"/>
              <w:bottom w:val="single" w:sz="4" w:space="0" w:color="auto"/>
              <w:right w:val="single" w:sz="4" w:space="0" w:color="auto"/>
            </w:tcBorders>
            <w:shd w:val="clear" w:color="auto" w:fill="FFFFFF" w:themeFill="background1"/>
            <w:noWrap/>
            <w:vAlign w:val="center"/>
            <w:hideMark/>
          </w:tcPr>
          <w:p w:rsidR="007E499C" w:rsidRPr="00432845" w:rsidRDefault="007E499C" w:rsidP="00D57F12">
            <w:pPr>
              <w:spacing w:before="80" w:after="80"/>
              <w:rPr>
                <w:rFonts w:ascii="Calibri" w:hAnsi="Calibri"/>
                <w:b/>
                <w:bCs/>
                <w:sz w:val="20"/>
                <w:szCs w:val="20"/>
                <w:lang w:eastAsia="es-ES"/>
              </w:rPr>
            </w:pPr>
            <w:r w:rsidRPr="00432845">
              <w:rPr>
                <w:rFonts w:ascii="Calibri" w:hAnsi="Calibri"/>
                <w:bCs/>
                <w:sz w:val="20"/>
                <w:szCs w:val="20"/>
                <w:lang w:eastAsia="es-ES"/>
              </w:rPr>
              <w:t>0,2%</w:t>
            </w:r>
          </w:p>
        </w:tc>
      </w:tr>
      <w:tr w:rsidR="007E499C" w:rsidRPr="0045727C" w:rsidTr="007E499C">
        <w:trPr>
          <w:trHeight w:val="326"/>
          <w:jc w:val="center"/>
        </w:trPr>
        <w:tc>
          <w:tcPr>
            <w:tcW w:w="2787"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E499C" w:rsidRPr="00432845" w:rsidRDefault="007E499C" w:rsidP="00D57F12">
            <w:pPr>
              <w:spacing w:before="80" w:after="80"/>
              <w:rPr>
                <w:rFonts w:ascii="Calibri" w:hAnsi="Calibri"/>
                <w:b/>
                <w:bCs/>
                <w:sz w:val="20"/>
                <w:szCs w:val="20"/>
                <w:lang w:eastAsia="es-ES"/>
              </w:rPr>
            </w:pPr>
            <w:r w:rsidRPr="00432845">
              <w:rPr>
                <w:rFonts w:ascii="Calibri" w:hAnsi="Calibri"/>
                <w:bCs/>
                <w:sz w:val="20"/>
                <w:szCs w:val="20"/>
                <w:lang w:eastAsia="es-ES"/>
              </w:rPr>
              <w:t>Italia</w:t>
            </w:r>
          </w:p>
        </w:tc>
        <w:tc>
          <w:tcPr>
            <w:tcW w:w="1455" w:type="dxa"/>
            <w:tcBorders>
              <w:top w:val="nil"/>
              <w:left w:val="nil"/>
              <w:bottom w:val="single" w:sz="4" w:space="0" w:color="auto"/>
              <w:right w:val="single" w:sz="4" w:space="0" w:color="auto"/>
            </w:tcBorders>
            <w:shd w:val="clear" w:color="auto" w:fill="FFFFFF" w:themeFill="background1"/>
            <w:noWrap/>
            <w:vAlign w:val="center"/>
            <w:hideMark/>
          </w:tcPr>
          <w:p w:rsidR="007E499C" w:rsidRPr="00432845" w:rsidRDefault="007E499C" w:rsidP="00D57F12">
            <w:pPr>
              <w:spacing w:before="80" w:after="80"/>
              <w:rPr>
                <w:rFonts w:ascii="Calibri" w:hAnsi="Calibri"/>
                <w:b/>
                <w:bCs/>
                <w:sz w:val="20"/>
                <w:szCs w:val="20"/>
                <w:lang w:eastAsia="es-ES"/>
              </w:rPr>
            </w:pPr>
            <w:r w:rsidRPr="00432845">
              <w:rPr>
                <w:rFonts w:ascii="Calibri" w:hAnsi="Calibri"/>
                <w:bCs/>
                <w:sz w:val="20"/>
                <w:szCs w:val="20"/>
                <w:lang w:eastAsia="es-ES"/>
              </w:rPr>
              <w:t>0,1%</w:t>
            </w:r>
          </w:p>
        </w:tc>
      </w:tr>
      <w:tr w:rsidR="007E499C" w:rsidRPr="0045727C" w:rsidTr="007E499C">
        <w:trPr>
          <w:trHeight w:val="326"/>
          <w:jc w:val="center"/>
        </w:trPr>
        <w:tc>
          <w:tcPr>
            <w:tcW w:w="2787"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E499C" w:rsidRPr="00432845" w:rsidRDefault="007E499C" w:rsidP="00D57F12">
            <w:pPr>
              <w:spacing w:before="80" w:after="80"/>
              <w:rPr>
                <w:rFonts w:ascii="Calibri" w:hAnsi="Calibri"/>
                <w:b/>
                <w:bCs/>
                <w:sz w:val="20"/>
                <w:szCs w:val="20"/>
                <w:lang w:eastAsia="es-ES"/>
              </w:rPr>
            </w:pPr>
            <w:r w:rsidRPr="00432845">
              <w:rPr>
                <w:rFonts w:ascii="Calibri" w:hAnsi="Calibri"/>
                <w:bCs/>
                <w:sz w:val="20"/>
                <w:szCs w:val="20"/>
                <w:lang w:eastAsia="es-ES"/>
              </w:rPr>
              <w:t>Argentina</w:t>
            </w:r>
          </w:p>
        </w:tc>
        <w:tc>
          <w:tcPr>
            <w:tcW w:w="1455" w:type="dxa"/>
            <w:tcBorders>
              <w:top w:val="nil"/>
              <w:left w:val="nil"/>
              <w:bottom w:val="single" w:sz="4" w:space="0" w:color="auto"/>
              <w:right w:val="single" w:sz="4" w:space="0" w:color="auto"/>
            </w:tcBorders>
            <w:shd w:val="clear" w:color="auto" w:fill="FFFFFF" w:themeFill="background1"/>
            <w:noWrap/>
            <w:vAlign w:val="center"/>
            <w:hideMark/>
          </w:tcPr>
          <w:p w:rsidR="007E499C" w:rsidRPr="00432845" w:rsidRDefault="007E499C" w:rsidP="00D57F12">
            <w:pPr>
              <w:spacing w:before="80" w:after="80"/>
              <w:rPr>
                <w:rFonts w:ascii="Calibri" w:hAnsi="Calibri"/>
                <w:b/>
                <w:bCs/>
                <w:sz w:val="20"/>
                <w:szCs w:val="20"/>
                <w:lang w:eastAsia="es-ES"/>
              </w:rPr>
            </w:pPr>
            <w:r w:rsidRPr="00432845">
              <w:rPr>
                <w:rFonts w:ascii="Calibri" w:hAnsi="Calibri"/>
                <w:bCs/>
                <w:sz w:val="20"/>
                <w:szCs w:val="20"/>
                <w:lang w:eastAsia="es-ES"/>
              </w:rPr>
              <w:t>0,1%</w:t>
            </w:r>
          </w:p>
        </w:tc>
      </w:tr>
      <w:tr w:rsidR="007E499C" w:rsidRPr="0045727C" w:rsidTr="007E499C">
        <w:trPr>
          <w:trHeight w:val="326"/>
          <w:jc w:val="center"/>
        </w:trPr>
        <w:tc>
          <w:tcPr>
            <w:tcW w:w="2787"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E499C" w:rsidRPr="00432845" w:rsidRDefault="007E499C" w:rsidP="00D57F12">
            <w:pPr>
              <w:spacing w:before="80" w:after="80"/>
              <w:rPr>
                <w:rFonts w:ascii="Calibri" w:hAnsi="Calibri"/>
                <w:b/>
                <w:bCs/>
                <w:sz w:val="20"/>
                <w:szCs w:val="20"/>
                <w:lang w:eastAsia="es-ES"/>
              </w:rPr>
            </w:pPr>
            <w:r w:rsidRPr="00432845">
              <w:rPr>
                <w:rFonts w:ascii="Calibri" w:hAnsi="Calibri"/>
                <w:bCs/>
                <w:sz w:val="20"/>
                <w:szCs w:val="20"/>
                <w:lang w:eastAsia="es-ES"/>
              </w:rPr>
              <w:t>Otros</w:t>
            </w:r>
            <w:r>
              <w:rPr>
                <w:rFonts w:ascii="Calibri" w:hAnsi="Calibri"/>
                <w:bCs/>
                <w:sz w:val="20"/>
                <w:szCs w:val="20"/>
                <w:lang w:eastAsia="es-ES"/>
              </w:rPr>
              <w:t xml:space="preserve"> países</w:t>
            </w:r>
          </w:p>
        </w:tc>
        <w:tc>
          <w:tcPr>
            <w:tcW w:w="1455" w:type="dxa"/>
            <w:tcBorders>
              <w:top w:val="nil"/>
              <w:left w:val="nil"/>
              <w:bottom w:val="single" w:sz="4" w:space="0" w:color="auto"/>
              <w:right w:val="single" w:sz="4" w:space="0" w:color="auto"/>
            </w:tcBorders>
            <w:shd w:val="clear" w:color="auto" w:fill="FFFFFF" w:themeFill="background1"/>
            <w:noWrap/>
            <w:vAlign w:val="center"/>
            <w:hideMark/>
          </w:tcPr>
          <w:p w:rsidR="007E499C" w:rsidRPr="00432845" w:rsidRDefault="007E499C" w:rsidP="00D57F12">
            <w:pPr>
              <w:spacing w:before="80" w:after="80"/>
              <w:rPr>
                <w:rFonts w:ascii="Calibri" w:hAnsi="Calibri"/>
                <w:b/>
                <w:bCs/>
                <w:sz w:val="20"/>
                <w:szCs w:val="20"/>
                <w:lang w:eastAsia="es-ES"/>
              </w:rPr>
            </w:pPr>
            <w:r w:rsidRPr="00432845">
              <w:rPr>
                <w:rFonts w:ascii="Calibri" w:hAnsi="Calibri"/>
                <w:bCs/>
                <w:sz w:val="20"/>
                <w:szCs w:val="20"/>
                <w:lang w:eastAsia="es-ES"/>
              </w:rPr>
              <w:t>1,6%</w:t>
            </w:r>
          </w:p>
        </w:tc>
      </w:tr>
    </w:tbl>
    <w:p w:rsidR="00C428D5" w:rsidRDefault="00C428D5" w:rsidP="007E499C">
      <w:pPr>
        <w:pStyle w:val="Textodeprrafo"/>
        <w:rPr>
          <w:sz w:val="22"/>
          <w:szCs w:val="22"/>
        </w:rPr>
      </w:pPr>
    </w:p>
    <w:p w:rsidR="007E499C" w:rsidRDefault="004368DE" w:rsidP="007E499C">
      <w:pPr>
        <w:pStyle w:val="Textodeprrafo"/>
      </w:pPr>
      <w:r>
        <w:rPr>
          <w:sz w:val="22"/>
          <w:szCs w:val="22"/>
        </w:rPr>
        <w:lastRenderedPageBreak/>
        <w:t>A nivel nacional, de las 1.323.</w:t>
      </w:r>
      <w:r w:rsidR="007E499C" w:rsidRPr="007E499C">
        <w:rPr>
          <w:sz w:val="22"/>
          <w:szCs w:val="22"/>
        </w:rPr>
        <w:t xml:space="preserve">491 visitas realizadas desde España en el año 2022 más de </w:t>
      </w:r>
      <w:r w:rsidR="00C428D5">
        <w:rPr>
          <w:sz w:val="22"/>
          <w:szCs w:val="22"/>
        </w:rPr>
        <w:t>la mitad se realizan desde una comunidad a</w:t>
      </w:r>
      <w:r w:rsidR="007E499C" w:rsidRPr="007E499C">
        <w:rPr>
          <w:sz w:val="22"/>
          <w:szCs w:val="22"/>
        </w:rPr>
        <w:t xml:space="preserve">utónoma distinta a la madrileña. Destacando, </w:t>
      </w:r>
      <w:r w:rsidR="007E499C" w:rsidRPr="00C428D5">
        <w:rPr>
          <w:sz w:val="22"/>
          <w:szCs w:val="22"/>
        </w:rPr>
        <w:t>entre</w:t>
      </w:r>
      <w:r w:rsidR="00C428D5">
        <w:rPr>
          <w:sz w:val="22"/>
          <w:szCs w:val="22"/>
        </w:rPr>
        <w:t xml:space="preserve"> ellas las comunidades a</w:t>
      </w:r>
      <w:r w:rsidR="007E499C" w:rsidRPr="00C428D5">
        <w:rPr>
          <w:sz w:val="22"/>
          <w:szCs w:val="22"/>
        </w:rPr>
        <w:t>utónomas de Cataluña y de Andalucía.</w:t>
      </w:r>
    </w:p>
    <w:p w:rsidR="007E499C" w:rsidRDefault="007E499C" w:rsidP="007E499C">
      <w:pPr>
        <w:pStyle w:val="Textodeprrafo"/>
      </w:pPr>
    </w:p>
    <w:p w:rsidR="007E499C" w:rsidRDefault="007E499C" w:rsidP="007E499C">
      <w:pPr>
        <w:pStyle w:val="Subttulo"/>
        <w:spacing w:before="0" w:line="20" w:lineRule="atLeast"/>
        <w:rPr>
          <w:rFonts w:cs="Arial"/>
          <w:color w:val="2F5496"/>
        </w:rPr>
      </w:pPr>
      <w:bookmarkStart w:id="143" w:name="_Toc98333366"/>
      <w:r>
        <w:rPr>
          <w:rFonts w:cs="Arial"/>
          <w:color w:val="2F5496"/>
        </w:rPr>
        <w:t>Gráfico</w:t>
      </w:r>
      <w:r w:rsidRPr="00D439C1">
        <w:rPr>
          <w:rFonts w:cs="Arial"/>
          <w:color w:val="2F5496"/>
        </w:rPr>
        <w:t xml:space="preserve"> </w:t>
      </w:r>
      <w:r w:rsidR="005A57C4">
        <w:rPr>
          <w:rFonts w:cs="Arial"/>
          <w:color w:val="2F5496"/>
        </w:rPr>
        <w:t>4.</w:t>
      </w:r>
      <w:r>
        <w:rPr>
          <w:rFonts w:cs="Arial"/>
          <w:color w:val="2F5496"/>
        </w:rPr>
        <w:t>6: Comunidad Autónoma de origen de</w:t>
      </w:r>
      <w:r w:rsidRPr="00D439C1">
        <w:rPr>
          <w:rFonts w:cs="Arial"/>
          <w:color w:val="2F5496"/>
        </w:rPr>
        <w:t xml:space="preserve"> las visitas al Portal de Transparencia</w:t>
      </w:r>
      <w:r>
        <w:rPr>
          <w:rFonts w:cs="Arial"/>
          <w:color w:val="2F5496"/>
        </w:rPr>
        <w:t xml:space="preserve"> en </w:t>
      </w:r>
      <w:bookmarkEnd w:id="143"/>
      <w:r>
        <w:rPr>
          <w:rFonts w:cs="Arial"/>
          <w:color w:val="2F5496"/>
        </w:rPr>
        <w:t>2022</w:t>
      </w:r>
    </w:p>
    <w:p w:rsidR="007E499C" w:rsidRPr="00B466A9" w:rsidRDefault="007E499C" w:rsidP="007E499C">
      <w:pPr>
        <w:pStyle w:val="Subttulo"/>
        <w:spacing w:before="0" w:line="20" w:lineRule="atLeast"/>
        <w:rPr>
          <w:rFonts w:cs="Arial"/>
          <w:color w:val="2F5496"/>
        </w:rPr>
      </w:pPr>
      <w:r>
        <w:rPr>
          <w:noProof/>
          <w:lang w:val="es-ES" w:eastAsia="es-ES"/>
        </w:rPr>
        <w:drawing>
          <wp:inline distT="0" distB="0" distL="0" distR="0" wp14:anchorId="1B930122" wp14:editId="719F4718">
            <wp:extent cx="5552767" cy="2101215"/>
            <wp:effectExtent l="0" t="0" r="10160" b="698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E499C" w:rsidRPr="009653BE" w:rsidRDefault="007E499C" w:rsidP="007E499C">
      <w:pPr>
        <w:pStyle w:val="Subttulo"/>
        <w:spacing w:before="0"/>
        <w:ind w:left="720"/>
        <w:jc w:val="left"/>
        <w:rPr>
          <w:rFonts w:eastAsia="SimSun" w:cs="Arial"/>
          <w:color w:val="2E74B5"/>
          <w:sz w:val="22"/>
          <w:szCs w:val="22"/>
        </w:rPr>
      </w:pPr>
      <w:bookmarkStart w:id="144" w:name="_Toc64153877"/>
      <w:bookmarkStart w:id="145" w:name="_Toc98333367"/>
      <w:r w:rsidRPr="009653BE">
        <w:rPr>
          <w:rFonts w:eastAsia="SimSun" w:cs="Arial"/>
          <w:color w:val="2E74B5"/>
          <w:sz w:val="22"/>
          <w:szCs w:val="22"/>
        </w:rPr>
        <w:t>4.</w:t>
      </w:r>
      <w:r w:rsidR="009653BE">
        <w:rPr>
          <w:rFonts w:eastAsia="SimSun" w:cs="Arial"/>
          <w:color w:val="2E74B5"/>
          <w:sz w:val="22"/>
          <w:szCs w:val="22"/>
        </w:rPr>
        <w:t>1</w:t>
      </w:r>
      <w:r w:rsidRPr="009653BE">
        <w:rPr>
          <w:rFonts w:eastAsia="SimSun" w:cs="Arial"/>
          <w:color w:val="2E74B5"/>
          <w:sz w:val="22"/>
          <w:szCs w:val="22"/>
        </w:rPr>
        <w:t xml:space="preserve">.3. Páginas más </w:t>
      </w:r>
      <w:bookmarkEnd w:id="144"/>
      <w:bookmarkEnd w:id="145"/>
      <w:r w:rsidRPr="009653BE">
        <w:rPr>
          <w:rFonts w:eastAsia="SimSun" w:cs="Arial"/>
          <w:color w:val="2E74B5"/>
          <w:sz w:val="22"/>
          <w:szCs w:val="22"/>
        </w:rPr>
        <w:t>vistas y contenido más descargado</w:t>
      </w:r>
      <w:r w:rsidR="005E02E8">
        <w:rPr>
          <w:rFonts w:eastAsia="SimSun" w:cs="Arial"/>
          <w:color w:val="2E74B5"/>
          <w:sz w:val="22"/>
          <w:szCs w:val="22"/>
        </w:rPr>
        <w:t>.</w:t>
      </w:r>
    </w:p>
    <w:p w:rsidR="007E499C" w:rsidRPr="00C428D5" w:rsidRDefault="005A57C4" w:rsidP="007E499C">
      <w:pPr>
        <w:pStyle w:val="Textodeprrafo"/>
        <w:spacing w:before="0"/>
        <w:rPr>
          <w:sz w:val="22"/>
          <w:szCs w:val="22"/>
        </w:rPr>
      </w:pPr>
      <w:r>
        <w:rPr>
          <w:sz w:val="22"/>
          <w:szCs w:val="22"/>
        </w:rPr>
        <w:t>Desde sus inicios, e</w:t>
      </w:r>
      <w:r w:rsidR="007E499C" w:rsidRPr="00C428D5">
        <w:rPr>
          <w:sz w:val="22"/>
          <w:szCs w:val="22"/>
        </w:rPr>
        <w:t xml:space="preserve">l Portal de Transparencia de la Comunidad de Madrid está trabajando en el propósito de mejorar la calidad, visibilidad y comprensión de sus contenidos. Los usuarios del Portal en el año 2022 se han interesado principalmente por conocer la organización de la Comunidad de Madrid, sus altos cargos, a la </w:t>
      </w:r>
      <w:r>
        <w:rPr>
          <w:sz w:val="22"/>
          <w:szCs w:val="22"/>
        </w:rPr>
        <w:t>p</w:t>
      </w:r>
      <w:r w:rsidR="007E499C" w:rsidRPr="00C428D5">
        <w:rPr>
          <w:sz w:val="22"/>
          <w:szCs w:val="22"/>
        </w:rPr>
        <w:t>residenta de la Comunidad y las instituciones de autogobierno. Son también páginas de alto interés las subvenciones y ayudas públicas y las retribuciones del personal. Tanto la página principal como el recurso del buscador son apartados altamente solicitados por los usuarios. El contenido más consultado en el año 2022 es el de Organización con 801</w:t>
      </w:r>
      <w:r w:rsidR="004368DE">
        <w:rPr>
          <w:sz w:val="22"/>
          <w:szCs w:val="22"/>
        </w:rPr>
        <w:t>.</w:t>
      </w:r>
      <w:r w:rsidR="007E499C" w:rsidRPr="00C428D5">
        <w:rPr>
          <w:sz w:val="22"/>
          <w:szCs w:val="22"/>
        </w:rPr>
        <w:t>872 vistas, lo que supone el 23,5</w:t>
      </w:r>
      <w:r w:rsidR="0024382B">
        <w:rPr>
          <w:sz w:val="22"/>
          <w:szCs w:val="22"/>
        </w:rPr>
        <w:t> </w:t>
      </w:r>
      <w:r w:rsidR="007E5914">
        <w:rPr>
          <w:sz w:val="22"/>
          <w:szCs w:val="22"/>
        </w:rPr>
        <w:t>% de las vistas en el P</w:t>
      </w:r>
      <w:r w:rsidR="007E499C" w:rsidRPr="00C428D5">
        <w:rPr>
          <w:sz w:val="22"/>
          <w:szCs w:val="22"/>
        </w:rPr>
        <w:t>ortal.</w:t>
      </w:r>
    </w:p>
    <w:p w:rsidR="007E499C" w:rsidRPr="001277A6" w:rsidRDefault="007E499C" w:rsidP="007E499C">
      <w:pPr>
        <w:pStyle w:val="Textodeprrafo"/>
        <w:spacing w:before="0" w:line="240" w:lineRule="atLeast"/>
      </w:pPr>
    </w:p>
    <w:p w:rsidR="007E499C" w:rsidRPr="0044540A" w:rsidRDefault="007E499C" w:rsidP="007E499C">
      <w:pPr>
        <w:pStyle w:val="Subttulo"/>
        <w:spacing w:before="0" w:line="20" w:lineRule="atLeast"/>
        <w:rPr>
          <w:rFonts w:cs="Arial"/>
          <w:color w:val="2F5496"/>
        </w:rPr>
      </w:pPr>
      <w:bookmarkStart w:id="146" w:name="_Toc98333368"/>
      <w:r>
        <w:rPr>
          <w:rFonts w:cs="Arial"/>
          <w:color w:val="2F5496"/>
        </w:rPr>
        <w:t xml:space="preserve">Tabla </w:t>
      </w:r>
      <w:r w:rsidR="00D0148C">
        <w:rPr>
          <w:rFonts w:cs="Arial"/>
          <w:color w:val="2F5496"/>
        </w:rPr>
        <w:t>4.</w:t>
      </w:r>
      <w:r>
        <w:rPr>
          <w:rFonts w:cs="Arial"/>
          <w:color w:val="2F5496"/>
        </w:rPr>
        <w:t>3: Los 10 a</w:t>
      </w:r>
      <w:r w:rsidRPr="00D33638">
        <w:rPr>
          <w:rFonts w:cs="Arial"/>
          <w:color w:val="2F5496"/>
        </w:rPr>
        <w:t>partados del Portal de Tra</w:t>
      </w:r>
      <w:r>
        <w:rPr>
          <w:rFonts w:cs="Arial"/>
          <w:color w:val="2F5496"/>
        </w:rPr>
        <w:t>nsparencia más vistos en 2022</w:t>
      </w:r>
      <w:bookmarkEnd w:id="146"/>
    </w:p>
    <w:tbl>
      <w:tblPr>
        <w:tblW w:w="5242" w:type="pct"/>
        <w:tblCellMar>
          <w:left w:w="70" w:type="dxa"/>
          <w:right w:w="70" w:type="dxa"/>
        </w:tblCellMar>
        <w:tblLook w:val="04A0" w:firstRow="1" w:lastRow="0" w:firstColumn="1" w:lastColumn="0" w:noHBand="0" w:noVBand="1"/>
      </w:tblPr>
      <w:tblGrid>
        <w:gridCol w:w="7963"/>
        <w:gridCol w:w="1239"/>
      </w:tblGrid>
      <w:tr w:rsidR="0024382B" w:rsidRPr="0024382B" w:rsidTr="00C45599">
        <w:trPr>
          <w:trHeight w:val="281"/>
        </w:trPr>
        <w:tc>
          <w:tcPr>
            <w:tcW w:w="4327" w:type="pct"/>
            <w:tcBorders>
              <w:top w:val="single" w:sz="4" w:space="0" w:color="auto"/>
              <w:left w:val="single" w:sz="4" w:space="0" w:color="auto"/>
              <w:bottom w:val="single" w:sz="4" w:space="0" w:color="auto"/>
              <w:right w:val="single" w:sz="4" w:space="0" w:color="auto"/>
            </w:tcBorders>
            <w:shd w:val="clear" w:color="auto" w:fill="ABE9FF"/>
            <w:noWrap/>
            <w:vAlign w:val="center"/>
            <w:hideMark/>
          </w:tcPr>
          <w:p w:rsidR="007E499C" w:rsidRPr="0024382B" w:rsidRDefault="007E499C" w:rsidP="00D57F12">
            <w:pPr>
              <w:spacing w:before="80" w:after="80"/>
              <w:rPr>
                <w:rFonts w:asciiTheme="minorBidi" w:hAnsiTheme="minorBidi"/>
                <w:bCs/>
                <w:color w:val="000000" w:themeColor="text1"/>
                <w:sz w:val="20"/>
                <w:szCs w:val="20"/>
                <w:lang w:eastAsia="es-ES"/>
              </w:rPr>
            </w:pPr>
            <w:r w:rsidRPr="0024382B">
              <w:rPr>
                <w:rFonts w:asciiTheme="minorBidi" w:hAnsiTheme="minorBidi"/>
                <w:bCs/>
                <w:color w:val="000000" w:themeColor="text1"/>
                <w:sz w:val="20"/>
                <w:szCs w:val="20"/>
                <w:lang w:eastAsia="es-ES"/>
              </w:rPr>
              <w:t>Apartados más vistos</w:t>
            </w:r>
          </w:p>
        </w:tc>
        <w:tc>
          <w:tcPr>
            <w:tcW w:w="673" w:type="pct"/>
            <w:tcBorders>
              <w:top w:val="single" w:sz="4" w:space="0" w:color="auto"/>
              <w:left w:val="nil"/>
              <w:bottom w:val="single" w:sz="4" w:space="0" w:color="auto"/>
              <w:right w:val="single" w:sz="4" w:space="0" w:color="auto"/>
            </w:tcBorders>
            <w:shd w:val="clear" w:color="auto" w:fill="ABE9FF"/>
            <w:vAlign w:val="center"/>
            <w:hideMark/>
          </w:tcPr>
          <w:p w:rsidR="007E499C" w:rsidRPr="0024382B" w:rsidRDefault="007E499C" w:rsidP="00D57F12">
            <w:pPr>
              <w:spacing w:before="80" w:after="80"/>
              <w:jc w:val="center"/>
              <w:rPr>
                <w:rFonts w:asciiTheme="minorBidi" w:hAnsiTheme="minorBidi"/>
                <w:bCs/>
                <w:color w:val="000000" w:themeColor="text1"/>
                <w:sz w:val="20"/>
                <w:szCs w:val="20"/>
                <w:lang w:eastAsia="es-ES"/>
              </w:rPr>
            </w:pPr>
            <w:r w:rsidRPr="0024382B">
              <w:rPr>
                <w:rFonts w:asciiTheme="minorBidi" w:hAnsiTheme="minorBidi"/>
                <w:bCs/>
                <w:color w:val="000000" w:themeColor="text1"/>
                <w:sz w:val="20"/>
                <w:szCs w:val="20"/>
                <w:lang w:eastAsia="es-ES"/>
              </w:rPr>
              <w:t>Páginas Vistas</w:t>
            </w:r>
          </w:p>
        </w:tc>
      </w:tr>
      <w:tr w:rsidR="0024382B" w:rsidRPr="0024382B" w:rsidTr="00C428D5">
        <w:trPr>
          <w:trHeight w:val="130"/>
        </w:trPr>
        <w:tc>
          <w:tcPr>
            <w:tcW w:w="4327" w:type="pct"/>
            <w:tcBorders>
              <w:top w:val="nil"/>
              <w:left w:val="single" w:sz="4" w:space="0" w:color="auto"/>
              <w:bottom w:val="single" w:sz="4" w:space="0" w:color="auto"/>
              <w:right w:val="single" w:sz="4" w:space="0" w:color="auto"/>
            </w:tcBorders>
            <w:shd w:val="clear" w:color="auto" w:fill="auto"/>
            <w:noWrap/>
            <w:vAlign w:val="center"/>
            <w:hideMark/>
          </w:tcPr>
          <w:p w:rsidR="007E499C" w:rsidRPr="0024382B" w:rsidRDefault="00C45599" w:rsidP="00D57F12">
            <w:pPr>
              <w:spacing w:before="80" w:after="80"/>
              <w:rPr>
                <w:rFonts w:cstheme="minorHAnsi"/>
                <w:b/>
                <w:color w:val="000000" w:themeColor="text1"/>
                <w:sz w:val="18"/>
                <w:szCs w:val="18"/>
                <w:lang w:eastAsia="es-ES"/>
              </w:rPr>
            </w:pPr>
            <w:hyperlink r:id="rId29" w:history="1">
              <w:r w:rsidR="007E499C" w:rsidRPr="0024382B">
                <w:rPr>
                  <w:rStyle w:val="Hipervnculo"/>
                  <w:rFonts w:cstheme="minorHAnsi"/>
                  <w:color w:val="000000" w:themeColor="text1"/>
                  <w:sz w:val="18"/>
                  <w:szCs w:val="18"/>
                  <w:u w:val="none"/>
                  <w:lang w:eastAsia="es-ES"/>
                </w:rPr>
                <w:t>Organización</w:t>
              </w:r>
            </w:hyperlink>
          </w:p>
        </w:tc>
        <w:tc>
          <w:tcPr>
            <w:tcW w:w="673" w:type="pct"/>
            <w:tcBorders>
              <w:top w:val="nil"/>
              <w:left w:val="nil"/>
              <w:bottom w:val="single" w:sz="4" w:space="0" w:color="auto"/>
              <w:right w:val="single" w:sz="4" w:space="0" w:color="auto"/>
            </w:tcBorders>
            <w:shd w:val="clear" w:color="auto" w:fill="auto"/>
            <w:noWrap/>
            <w:vAlign w:val="center"/>
            <w:hideMark/>
          </w:tcPr>
          <w:p w:rsidR="007E499C" w:rsidRPr="0024382B" w:rsidRDefault="004368DE" w:rsidP="00D57F12">
            <w:pPr>
              <w:spacing w:before="80" w:after="80"/>
              <w:jc w:val="right"/>
              <w:rPr>
                <w:rFonts w:cstheme="minorHAnsi"/>
                <w:b/>
                <w:color w:val="000000" w:themeColor="text1"/>
                <w:sz w:val="16"/>
                <w:szCs w:val="16"/>
                <w:lang w:eastAsia="es-ES"/>
              </w:rPr>
            </w:pPr>
            <w:r>
              <w:rPr>
                <w:rFonts w:cstheme="minorHAnsi"/>
                <w:color w:val="000000" w:themeColor="text1"/>
                <w:sz w:val="16"/>
                <w:szCs w:val="16"/>
                <w:lang w:eastAsia="es-ES"/>
              </w:rPr>
              <w:t>801.</w:t>
            </w:r>
            <w:r w:rsidR="007E499C" w:rsidRPr="0024382B">
              <w:rPr>
                <w:rFonts w:cstheme="minorHAnsi"/>
                <w:color w:val="000000" w:themeColor="text1"/>
                <w:sz w:val="16"/>
                <w:szCs w:val="16"/>
                <w:lang w:eastAsia="es-ES"/>
              </w:rPr>
              <w:t>872</w:t>
            </w:r>
          </w:p>
        </w:tc>
      </w:tr>
      <w:tr w:rsidR="0024382B" w:rsidRPr="0024382B" w:rsidTr="00C428D5">
        <w:trPr>
          <w:trHeight w:val="130"/>
        </w:trPr>
        <w:tc>
          <w:tcPr>
            <w:tcW w:w="4327" w:type="pct"/>
            <w:tcBorders>
              <w:top w:val="nil"/>
              <w:left w:val="single" w:sz="4" w:space="0" w:color="auto"/>
              <w:bottom w:val="single" w:sz="4" w:space="0" w:color="auto"/>
              <w:right w:val="single" w:sz="4" w:space="0" w:color="auto"/>
            </w:tcBorders>
            <w:shd w:val="clear" w:color="auto" w:fill="auto"/>
            <w:noWrap/>
            <w:vAlign w:val="center"/>
            <w:hideMark/>
          </w:tcPr>
          <w:p w:rsidR="007E499C" w:rsidRPr="0024382B" w:rsidRDefault="00C45599" w:rsidP="00D57F12">
            <w:pPr>
              <w:spacing w:before="80" w:after="80"/>
              <w:rPr>
                <w:rFonts w:cstheme="minorHAnsi"/>
                <w:b/>
                <w:color w:val="000000" w:themeColor="text1"/>
                <w:sz w:val="18"/>
                <w:szCs w:val="18"/>
                <w:lang w:eastAsia="es-ES"/>
              </w:rPr>
            </w:pPr>
            <w:hyperlink r:id="rId30" w:history="1">
              <w:r w:rsidR="007E499C" w:rsidRPr="0024382B">
                <w:rPr>
                  <w:rStyle w:val="Hipervnculo"/>
                  <w:rFonts w:cstheme="minorHAnsi"/>
                  <w:color w:val="000000" w:themeColor="text1"/>
                  <w:sz w:val="18"/>
                  <w:szCs w:val="18"/>
                  <w:u w:val="none"/>
                  <w:lang w:eastAsia="es-ES"/>
                </w:rPr>
                <w:t>Página principal</w:t>
              </w:r>
            </w:hyperlink>
          </w:p>
        </w:tc>
        <w:tc>
          <w:tcPr>
            <w:tcW w:w="673" w:type="pct"/>
            <w:tcBorders>
              <w:top w:val="nil"/>
              <w:left w:val="nil"/>
              <w:bottom w:val="single" w:sz="4" w:space="0" w:color="auto"/>
              <w:right w:val="single" w:sz="4" w:space="0" w:color="auto"/>
            </w:tcBorders>
            <w:shd w:val="clear" w:color="auto" w:fill="auto"/>
            <w:noWrap/>
            <w:vAlign w:val="center"/>
            <w:hideMark/>
          </w:tcPr>
          <w:p w:rsidR="007E499C" w:rsidRPr="0024382B" w:rsidRDefault="004368DE" w:rsidP="00D57F12">
            <w:pPr>
              <w:spacing w:before="80" w:after="80"/>
              <w:jc w:val="right"/>
              <w:rPr>
                <w:rFonts w:cstheme="minorHAnsi"/>
                <w:b/>
                <w:color w:val="000000" w:themeColor="text1"/>
                <w:sz w:val="16"/>
                <w:szCs w:val="16"/>
                <w:lang w:eastAsia="es-ES"/>
              </w:rPr>
            </w:pPr>
            <w:r>
              <w:rPr>
                <w:rFonts w:cstheme="minorHAnsi"/>
                <w:color w:val="000000" w:themeColor="text1"/>
                <w:sz w:val="16"/>
                <w:szCs w:val="16"/>
                <w:lang w:eastAsia="es-ES"/>
              </w:rPr>
              <w:t>150.</w:t>
            </w:r>
            <w:r w:rsidR="007E499C" w:rsidRPr="0024382B">
              <w:rPr>
                <w:rFonts w:cstheme="minorHAnsi"/>
                <w:color w:val="000000" w:themeColor="text1"/>
                <w:sz w:val="16"/>
                <w:szCs w:val="16"/>
                <w:lang w:eastAsia="es-ES"/>
              </w:rPr>
              <w:t>519</w:t>
            </w:r>
          </w:p>
        </w:tc>
      </w:tr>
      <w:tr w:rsidR="0024382B" w:rsidRPr="0024382B" w:rsidTr="00C428D5">
        <w:trPr>
          <w:trHeight w:val="275"/>
        </w:trPr>
        <w:tc>
          <w:tcPr>
            <w:tcW w:w="4327" w:type="pct"/>
            <w:tcBorders>
              <w:top w:val="nil"/>
              <w:left w:val="single" w:sz="4" w:space="0" w:color="auto"/>
              <w:bottom w:val="single" w:sz="4" w:space="0" w:color="auto"/>
              <w:right w:val="single" w:sz="4" w:space="0" w:color="auto"/>
            </w:tcBorders>
            <w:shd w:val="clear" w:color="auto" w:fill="auto"/>
            <w:noWrap/>
            <w:vAlign w:val="center"/>
            <w:hideMark/>
          </w:tcPr>
          <w:p w:rsidR="007E499C" w:rsidRPr="0024382B" w:rsidRDefault="00C45599" w:rsidP="00D57F12">
            <w:pPr>
              <w:spacing w:before="80" w:after="80"/>
              <w:rPr>
                <w:rFonts w:cstheme="minorHAnsi"/>
                <w:b/>
                <w:color w:val="000000" w:themeColor="text1"/>
                <w:sz w:val="18"/>
                <w:szCs w:val="18"/>
                <w:lang w:eastAsia="es-ES"/>
              </w:rPr>
            </w:pPr>
            <w:hyperlink r:id="rId31" w:history="1">
              <w:r w:rsidR="007E499C" w:rsidRPr="0024382B">
                <w:rPr>
                  <w:rStyle w:val="Hipervnculo"/>
                  <w:rFonts w:cstheme="minorHAnsi"/>
                  <w:color w:val="000000" w:themeColor="text1"/>
                  <w:sz w:val="18"/>
                  <w:szCs w:val="18"/>
                  <w:u w:val="none"/>
                  <w:lang w:eastAsia="es-ES"/>
                </w:rPr>
                <w:t>Altos cargos</w:t>
              </w:r>
            </w:hyperlink>
          </w:p>
        </w:tc>
        <w:tc>
          <w:tcPr>
            <w:tcW w:w="673" w:type="pct"/>
            <w:tcBorders>
              <w:top w:val="nil"/>
              <w:left w:val="nil"/>
              <w:bottom w:val="single" w:sz="4" w:space="0" w:color="auto"/>
              <w:right w:val="single" w:sz="4" w:space="0" w:color="auto"/>
            </w:tcBorders>
            <w:shd w:val="clear" w:color="auto" w:fill="auto"/>
            <w:noWrap/>
            <w:vAlign w:val="center"/>
            <w:hideMark/>
          </w:tcPr>
          <w:p w:rsidR="007E499C" w:rsidRPr="0024382B" w:rsidRDefault="004368DE" w:rsidP="00D57F12">
            <w:pPr>
              <w:spacing w:before="80" w:after="80"/>
              <w:jc w:val="right"/>
              <w:rPr>
                <w:rFonts w:cstheme="minorHAnsi"/>
                <w:b/>
                <w:color w:val="000000" w:themeColor="text1"/>
                <w:sz w:val="16"/>
                <w:szCs w:val="16"/>
                <w:lang w:eastAsia="es-ES"/>
              </w:rPr>
            </w:pPr>
            <w:r>
              <w:rPr>
                <w:rFonts w:cstheme="minorHAnsi"/>
                <w:color w:val="000000" w:themeColor="text1"/>
                <w:sz w:val="16"/>
                <w:szCs w:val="16"/>
                <w:lang w:eastAsia="es-ES"/>
              </w:rPr>
              <w:t>91.</w:t>
            </w:r>
            <w:r w:rsidR="007E499C" w:rsidRPr="0024382B">
              <w:rPr>
                <w:rFonts w:cstheme="minorHAnsi"/>
                <w:color w:val="000000" w:themeColor="text1"/>
                <w:sz w:val="16"/>
                <w:szCs w:val="16"/>
                <w:lang w:eastAsia="es-ES"/>
              </w:rPr>
              <w:t>641</w:t>
            </w:r>
          </w:p>
        </w:tc>
      </w:tr>
      <w:tr w:rsidR="0024382B" w:rsidRPr="0024382B" w:rsidTr="00C428D5">
        <w:trPr>
          <w:trHeight w:val="275"/>
        </w:trPr>
        <w:tc>
          <w:tcPr>
            <w:tcW w:w="4327" w:type="pct"/>
            <w:tcBorders>
              <w:top w:val="nil"/>
              <w:left w:val="single" w:sz="4" w:space="0" w:color="auto"/>
              <w:bottom w:val="single" w:sz="4" w:space="0" w:color="auto"/>
              <w:right w:val="single" w:sz="4" w:space="0" w:color="auto"/>
            </w:tcBorders>
            <w:shd w:val="clear" w:color="auto" w:fill="auto"/>
            <w:noWrap/>
            <w:vAlign w:val="center"/>
            <w:hideMark/>
          </w:tcPr>
          <w:p w:rsidR="007E499C" w:rsidRPr="0024382B" w:rsidRDefault="00C45599" w:rsidP="00D57F12">
            <w:pPr>
              <w:spacing w:before="80" w:after="80"/>
              <w:rPr>
                <w:rFonts w:cstheme="minorHAnsi"/>
                <w:b/>
                <w:color w:val="000000" w:themeColor="text1"/>
                <w:sz w:val="18"/>
                <w:szCs w:val="18"/>
                <w:lang w:eastAsia="es-ES"/>
              </w:rPr>
            </w:pPr>
            <w:hyperlink r:id="rId32" w:history="1">
              <w:r w:rsidR="007E499C" w:rsidRPr="0024382B">
                <w:rPr>
                  <w:rStyle w:val="Hipervnculo"/>
                  <w:rFonts w:cstheme="minorHAnsi"/>
                  <w:color w:val="000000" w:themeColor="text1"/>
                  <w:sz w:val="18"/>
                  <w:szCs w:val="18"/>
                  <w:u w:val="none"/>
                  <w:lang w:eastAsia="es-ES"/>
                </w:rPr>
                <w:t>Buscador del Portal</w:t>
              </w:r>
            </w:hyperlink>
            <w:r w:rsidR="007E499C" w:rsidRPr="0024382B">
              <w:rPr>
                <w:rFonts w:cstheme="minorHAnsi"/>
                <w:color w:val="000000" w:themeColor="text1"/>
                <w:sz w:val="18"/>
                <w:szCs w:val="18"/>
                <w:lang w:eastAsia="es-ES"/>
              </w:rPr>
              <w:t xml:space="preserve"> </w:t>
            </w:r>
          </w:p>
        </w:tc>
        <w:tc>
          <w:tcPr>
            <w:tcW w:w="673" w:type="pct"/>
            <w:tcBorders>
              <w:top w:val="nil"/>
              <w:left w:val="nil"/>
              <w:bottom w:val="single" w:sz="4" w:space="0" w:color="auto"/>
              <w:right w:val="single" w:sz="4" w:space="0" w:color="auto"/>
            </w:tcBorders>
            <w:shd w:val="clear" w:color="auto" w:fill="auto"/>
            <w:noWrap/>
            <w:vAlign w:val="center"/>
            <w:hideMark/>
          </w:tcPr>
          <w:p w:rsidR="007E499C" w:rsidRPr="0024382B" w:rsidRDefault="004368DE" w:rsidP="00D57F12">
            <w:pPr>
              <w:spacing w:before="80" w:after="80"/>
              <w:jc w:val="right"/>
              <w:rPr>
                <w:rFonts w:cstheme="minorHAnsi"/>
                <w:b/>
                <w:color w:val="000000" w:themeColor="text1"/>
                <w:sz w:val="16"/>
                <w:szCs w:val="16"/>
                <w:lang w:eastAsia="es-ES"/>
              </w:rPr>
            </w:pPr>
            <w:r>
              <w:rPr>
                <w:rFonts w:cstheme="minorHAnsi"/>
                <w:color w:val="000000" w:themeColor="text1"/>
                <w:sz w:val="16"/>
                <w:szCs w:val="16"/>
                <w:lang w:eastAsia="es-ES"/>
              </w:rPr>
              <w:t>42.</w:t>
            </w:r>
            <w:r w:rsidR="007E499C" w:rsidRPr="0024382B">
              <w:rPr>
                <w:rFonts w:cstheme="minorHAnsi"/>
                <w:color w:val="000000" w:themeColor="text1"/>
                <w:sz w:val="16"/>
                <w:szCs w:val="16"/>
                <w:lang w:eastAsia="es-ES"/>
              </w:rPr>
              <w:t>435</w:t>
            </w:r>
          </w:p>
        </w:tc>
      </w:tr>
      <w:tr w:rsidR="0024382B" w:rsidRPr="0024382B" w:rsidTr="00C428D5">
        <w:trPr>
          <w:trHeight w:val="169"/>
        </w:trPr>
        <w:tc>
          <w:tcPr>
            <w:tcW w:w="4327" w:type="pct"/>
            <w:tcBorders>
              <w:top w:val="nil"/>
              <w:left w:val="single" w:sz="4" w:space="0" w:color="auto"/>
              <w:bottom w:val="single" w:sz="4" w:space="0" w:color="auto"/>
              <w:right w:val="single" w:sz="4" w:space="0" w:color="auto"/>
            </w:tcBorders>
            <w:shd w:val="clear" w:color="auto" w:fill="auto"/>
            <w:noWrap/>
            <w:vAlign w:val="center"/>
            <w:hideMark/>
          </w:tcPr>
          <w:p w:rsidR="007E499C" w:rsidRPr="0024382B" w:rsidRDefault="00C45599" w:rsidP="00D57F12">
            <w:pPr>
              <w:spacing w:before="80" w:after="80"/>
              <w:rPr>
                <w:rFonts w:cstheme="minorHAnsi"/>
                <w:b/>
                <w:color w:val="000000" w:themeColor="text1"/>
                <w:sz w:val="18"/>
                <w:szCs w:val="18"/>
                <w:lang w:eastAsia="es-ES"/>
              </w:rPr>
            </w:pPr>
            <w:hyperlink r:id="rId33" w:history="1">
              <w:r w:rsidR="007E499C" w:rsidRPr="0024382B">
                <w:rPr>
                  <w:rStyle w:val="Hipervnculo"/>
                  <w:rFonts w:cstheme="minorHAnsi"/>
                  <w:color w:val="000000" w:themeColor="text1"/>
                  <w:sz w:val="18"/>
                  <w:szCs w:val="18"/>
                  <w:u w:val="none"/>
                  <w:lang w:eastAsia="es-ES"/>
                </w:rPr>
                <w:t>Isabel Díaz Ayuso</w:t>
              </w:r>
            </w:hyperlink>
          </w:p>
        </w:tc>
        <w:tc>
          <w:tcPr>
            <w:tcW w:w="673" w:type="pct"/>
            <w:tcBorders>
              <w:top w:val="nil"/>
              <w:left w:val="nil"/>
              <w:bottom w:val="single" w:sz="4" w:space="0" w:color="auto"/>
              <w:right w:val="single" w:sz="4" w:space="0" w:color="auto"/>
            </w:tcBorders>
            <w:shd w:val="clear" w:color="auto" w:fill="auto"/>
            <w:noWrap/>
            <w:vAlign w:val="center"/>
            <w:hideMark/>
          </w:tcPr>
          <w:p w:rsidR="007E499C" w:rsidRPr="0024382B" w:rsidRDefault="004368DE" w:rsidP="00D57F12">
            <w:pPr>
              <w:spacing w:before="80" w:after="80"/>
              <w:jc w:val="right"/>
              <w:rPr>
                <w:rFonts w:cstheme="minorHAnsi"/>
                <w:b/>
                <w:color w:val="000000" w:themeColor="text1"/>
                <w:sz w:val="16"/>
                <w:szCs w:val="16"/>
                <w:lang w:eastAsia="es-ES"/>
              </w:rPr>
            </w:pPr>
            <w:r>
              <w:rPr>
                <w:rFonts w:cstheme="minorHAnsi"/>
                <w:color w:val="000000" w:themeColor="text1"/>
                <w:sz w:val="16"/>
                <w:szCs w:val="16"/>
                <w:lang w:eastAsia="es-ES"/>
              </w:rPr>
              <w:t>38.</w:t>
            </w:r>
            <w:r w:rsidR="007E499C" w:rsidRPr="0024382B">
              <w:rPr>
                <w:rFonts w:cstheme="minorHAnsi"/>
                <w:color w:val="000000" w:themeColor="text1"/>
                <w:sz w:val="16"/>
                <w:szCs w:val="16"/>
                <w:lang w:eastAsia="es-ES"/>
              </w:rPr>
              <w:t>141</w:t>
            </w:r>
          </w:p>
        </w:tc>
      </w:tr>
      <w:tr w:rsidR="0024382B" w:rsidRPr="0024382B" w:rsidTr="00C428D5">
        <w:trPr>
          <w:trHeight w:val="174"/>
        </w:trPr>
        <w:tc>
          <w:tcPr>
            <w:tcW w:w="4327" w:type="pct"/>
            <w:tcBorders>
              <w:top w:val="nil"/>
              <w:left w:val="single" w:sz="4" w:space="0" w:color="auto"/>
              <w:bottom w:val="single" w:sz="4" w:space="0" w:color="auto"/>
              <w:right w:val="single" w:sz="4" w:space="0" w:color="auto"/>
            </w:tcBorders>
            <w:shd w:val="clear" w:color="auto" w:fill="auto"/>
            <w:noWrap/>
            <w:vAlign w:val="center"/>
            <w:hideMark/>
          </w:tcPr>
          <w:p w:rsidR="007E499C" w:rsidRPr="0024382B" w:rsidRDefault="00C45599" w:rsidP="00D57F12">
            <w:pPr>
              <w:spacing w:before="80" w:after="80"/>
              <w:rPr>
                <w:rFonts w:cstheme="minorHAnsi"/>
                <w:b/>
                <w:color w:val="000000" w:themeColor="text1"/>
                <w:sz w:val="18"/>
                <w:szCs w:val="18"/>
                <w:lang w:eastAsia="es-ES"/>
              </w:rPr>
            </w:pPr>
            <w:hyperlink r:id="rId34" w:history="1">
              <w:r w:rsidR="007E499C" w:rsidRPr="0024382B">
                <w:rPr>
                  <w:rStyle w:val="Hipervnculo"/>
                  <w:rFonts w:cstheme="minorHAnsi"/>
                  <w:color w:val="000000" w:themeColor="text1"/>
                  <w:sz w:val="18"/>
                  <w:szCs w:val="18"/>
                  <w:u w:val="none"/>
                  <w:lang w:eastAsia="es-ES"/>
                </w:rPr>
                <w:t>La institución y su funcionamiento</w:t>
              </w:r>
            </w:hyperlink>
          </w:p>
        </w:tc>
        <w:tc>
          <w:tcPr>
            <w:tcW w:w="673" w:type="pct"/>
            <w:tcBorders>
              <w:top w:val="nil"/>
              <w:left w:val="nil"/>
              <w:bottom w:val="single" w:sz="4" w:space="0" w:color="auto"/>
              <w:right w:val="single" w:sz="4" w:space="0" w:color="auto"/>
            </w:tcBorders>
            <w:shd w:val="clear" w:color="auto" w:fill="auto"/>
            <w:noWrap/>
            <w:vAlign w:val="center"/>
            <w:hideMark/>
          </w:tcPr>
          <w:p w:rsidR="007E499C" w:rsidRPr="0024382B" w:rsidRDefault="004368DE" w:rsidP="00D57F12">
            <w:pPr>
              <w:spacing w:before="80" w:after="80"/>
              <w:jc w:val="right"/>
              <w:rPr>
                <w:rFonts w:cstheme="minorHAnsi"/>
                <w:b/>
                <w:color w:val="000000" w:themeColor="text1"/>
                <w:sz w:val="16"/>
                <w:szCs w:val="16"/>
                <w:lang w:eastAsia="es-ES"/>
              </w:rPr>
            </w:pPr>
            <w:r>
              <w:rPr>
                <w:rFonts w:cstheme="minorHAnsi"/>
                <w:color w:val="000000" w:themeColor="text1"/>
                <w:sz w:val="16"/>
                <w:szCs w:val="16"/>
                <w:lang w:eastAsia="es-ES"/>
              </w:rPr>
              <w:t>37.</w:t>
            </w:r>
            <w:r w:rsidR="007E499C" w:rsidRPr="0024382B">
              <w:rPr>
                <w:rFonts w:cstheme="minorHAnsi"/>
                <w:color w:val="000000" w:themeColor="text1"/>
                <w:sz w:val="16"/>
                <w:szCs w:val="16"/>
                <w:lang w:eastAsia="es-ES"/>
              </w:rPr>
              <w:t>334</w:t>
            </w:r>
          </w:p>
        </w:tc>
      </w:tr>
      <w:tr w:rsidR="0024382B" w:rsidRPr="0024382B" w:rsidTr="00C428D5">
        <w:trPr>
          <w:trHeight w:val="275"/>
        </w:trPr>
        <w:tc>
          <w:tcPr>
            <w:tcW w:w="4327" w:type="pct"/>
            <w:tcBorders>
              <w:top w:val="nil"/>
              <w:left w:val="single" w:sz="4" w:space="0" w:color="auto"/>
              <w:bottom w:val="single" w:sz="4" w:space="0" w:color="auto"/>
              <w:right w:val="single" w:sz="4" w:space="0" w:color="auto"/>
            </w:tcBorders>
            <w:shd w:val="clear" w:color="auto" w:fill="auto"/>
            <w:noWrap/>
            <w:vAlign w:val="center"/>
            <w:hideMark/>
          </w:tcPr>
          <w:p w:rsidR="007E499C" w:rsidRPr="0024382B" w:rsidRDefault="00C45599" w:rsidP="00D57F12">
            <w:pPr>
              <w:spacing w:before="80" w:after="80"/>
              <w:rPr>
                <w:rFonts w:cstheme="minorHAnsi"/>
                <w:b/>
                <w:color w:val="000000" w:themeColor="text1"/>
                <w:sz w:val="18"/>
                <w:szCs w:val="18"/>
                <w:lang w:eastAsia="es-ES"/>
              </w:rPr>
            </w:pPr>
            <w:hyperlink r:id="rId35" w:history="1">
              <w:r w:rsidR="007E499C" w:rsidRPr="0024382B">
                <w:rPr>
                  <w:rStyle w:val="Hipervnculo"/>
                  <w:rFonts w:cstheme="minorHAnsi"/>
                  <w:color w:val="000000" w:themeColor="text1"/>
                  <w:sz w:val="18"/>
                  <w:szCs w:val="18"/>
                  <w:u w:val="none"/>
                  <w:lang w:eastAsia="es-ES"/>
                </w:rPr>
                <w:t>Subvenciones y ayudas públicas</w:t>
              </w:r>
            </w:hyperlink>
          </w:p>
        </w:tc>
        <w:tc>
          <w:tcPr>
            <w:tcW w:w="673" w:type="pct"/>
            <w:tcBorders>
              <w:top w:val="nil"/>
              <w:left w:val="nil"/>
              <w:bottom w:val="single" w:sz="4" w:space="0" w:color="auto"/>
              <w:right w:val="single" w:sz="4" w:space="0" w:color="auto"/>
            </w:tcBorders>
            <w:shd w:val="clear" w:color="auto" w:fill="auto"/>
            <w:noWrap/>
            <w:vAlign w:val="center"/>
            <w:hideMark/>
          </w:tcPr>
          <w:p w:rsidR="007E499C" w:rsidRPr="0024382B" w:rsidRDefault="004368DE" w:rsidP="00D57F12">
            <w:pPr>
              <w:spacing w:before="80" w:after="80"/>
              <w:jc w:val="right"/>
              <w:rPr>
                <w:rFonts w:cstheme="minorHAnsi"/>
                <w:b/>
                <w:color w:val="000000" w:themeColor="text1"/>
                <w:sz w:val="16"/>
                <w:szCs w:val="16"/>
                <w:lang w:eastAsia="es-ES"/>
              </w:rPr>
            </w:pPr>
            <w:r>
              <w:rPr>
                <w:rFonts w:cstheme="minorHAnsi"/>
                <w:color w:val="000000" w:themeColor="text1"/>
                <w:sz w:val="16"/>
                <w:szCs w:val="16"/>
                <w:lang w:eastAsia="es-ES"/>
              </w:rPr>
              <w:t>36.</w:t>
            </w:r>
            <w:r w:rsidR="007E499C" w:rsidRPr="0024382B">
              <w:rPr>
                <w:rFonts w:cstheme="minorHAnsi"/>
                <w:color w:val="000000" w:themeColor="text1"/>
                <w:sz w:val="16"/>
                <w:szCs w:val="16"/>
                <w:lang w:eastAsia="es-ES"/>
              </w:rPr>
              <w:t>035</w:t>
            </w:r>
          </w:p>
        </w:tc>
      </w:tr>
      <w:tr w:rsidR="0024382B" w:rsidRPr="0024382B" w:rsidTr="00C428D5">
        <w:trPr>
          <w:trHeight w:val="275"/>
        </w:trPr>
        <w:tc>
          <w:tcPr>
            <w:tcW w:w="4327" w:type="pct"/>
            <w:tcBorders>
              <w:top w:val="nil"/>
              <w:left w:val="single" w:sz="4" w:space="0" w:color="auto"/>
              <w:bottom w:val="single" w:sz="4" w:space="0" w:color="auto"/>
              <w:right w:val="single" w:sz="4" w:space="0" w:color="auto"/>
            </w:tcBorders>
            <w:shd w:val="clear" w:color="auto" w:fill="auto"/>
            <w:vAlign w:val="center"/>
            <w:hideMark/>
          </w:tcPr>
          <w:p w:rsidR="007E499C" w:rsidRPr="0024382B" w:rsidRDefault="00C45599" w:rsidP="00D57F12">
            <w:pPr>
              <w:spacing w:before="80" w:after="80"/>
              <w:rPr>
                <w:rFonts w:cstheme="minorHAnsi"/>
                <w:b/>
                <w:color w:val="000000" w:themeColor="text1"/>
                <w:sz w:val="18"/>
                <w:szCs w:val="18"/>
                <w:lang w:eastAsia="es-ES"/>
              </w:rPr>
            </w:pPr>
            <w:hyperlink r:id="rId36" w:history="1">
              <w:r w:rsidR="007E499C" w:rsidRPr="0024382B">
                <w:rPr>
                  <w:rStyle w:val="Hipervnculo"/>
                  <w:rFonts w:cstheme="minorHAnsi"/>
                  <w:color w:val="000000" w:themeColor="text1"/>
                  <w:sz w:val="18"/>
                  <w:szCs w:val="18"/>
                  <w:u w:val="none"/>
                  <w:lang w:eastAsia="es-ES"/>
                </w:rPr>
                <w:t xml:space="preserve">Retribuciones </w:t>
              </w:r>
              <w:r>
                <w:rPr>
                  <w:rStyle w:val="Hipervnculo"/>
                  <w:rFonts w:cstheme="minorHAnsi"/>
                  <w:color w:val="000000" w:themeColor="text1"/>
                  <w:sz w:val="18"/>
                  <w:szCs w:val="18"/>
                  <w:u w:val="none"/>
                  <w:lang w:eastAsia="es-ES"/>
                </w:rPr>
                <w:t>del personal al servicio de la A</w:t>
              </w:r>
              <w:bookmarkStart w:id="147" w:name="_GoBack"/>
              <w:bookmarkEnd w:id="147"/>
              <w:r w:rsidR="007E499C" w:rsidRPr="0024382B">
                <w:rPr>
                  <w:rStyle w:val="Hipervnculo"/>
                  <w:rFonts w:cstheme="minorHAnsi"/>
                  <w:color w:val="000000" w:themeColor="text1"/>
                  <w:sz w:val="18"/>
                  <w:szCs w:val="18"/>
                  <w:u w:val="none"/>
                  <w:lang w:eastAsia="es-ES"/>
                </w:rPr>
                <w:t>dministración de la Comunidad de Madrid</w:t>
              </w:r>
            </w:hyperlink>
          </w:p>
        </w:tc>
        <w:tc>
          <w:tcPr>
            <w:tcW w:w="673" w:type="pct"/>
            <w:tcBorders>
              <w:top w:val="nil"/>
              <w:left w:val="nil"/>
              <w:bottom w:val="single" w:sz="4" w:space="0" w:color="auto"/>
              <w:right w:val="single" w:sz="4" w:space="0" w:color="auto"/>
            </w:tcBorders>
            <w:shd w:val="clear" w:color="auto" w:fill="auto"/>
            <w:noWrap/>
            <w:vAlign w:val="center"/>
            <w:hideMark/>
          </w:tcPr>
          <w:p w:rsidR="007E499C" w:rsidRPr="0024382B" w:rsidRDefault="004368DE" w:rsidP="00D57F12">
            <w:pPr>
              <w:spacing w:before="80" w:after="80"/>
              <w:jc w:val="right"/>
              <w:rPr>
                <w:rFonts w:cstheme="minorHAnsi"/>
                <w:b/>
                <w:color w:val="000000" w:themeColor="text1"/>
                <w:sz w:val="16"/>
                <w:szCs w:val="16"/>
                <w:lang w:eastAsia="es-ES"/>
              </w:rPr>
            </w:pPr>
            <w:r>
              <w:rPr>
                <w:rFonts w:cstheme="minorHAnsi"/>
                <w:color w:val="000000" w:themeColor="text1"/>
                <w:sz w:val="16"/>
                <w:szCs w:val="16"/>
                <w:lang w:eastAsia="es-ES"/>
              </w:rPr>
              <w:t>33.</w:t>
            </w:r>
            <w:r w:rsidR="007E499C" w:rsidRPr="0024382B">
              <w:rPr>
                <w:rFonts w:cstheme="minorHAnsi"/>
                <w:color w:val="000000" w:themeColor="text1"/>
                <w:sz w:val="16"/>
                <w:szCs w:val="16"/>
                <w:lang w:eastAsia="es-ES"/>
              </w:rPr>
              <w:t>989</w:t>
            </w:r>
          </w:p>
        </w:tc>
      </w:tr>
      <w:tr w:rsidR="0024382B" w:rsidRPr="0024382B" w:rsidTr="00C428D5">
        <w:trPr>
          <w:trHeight w:val="171"/>
        </w:trPr>
        <w:tc>
          <w:tcPr>
            <w:tcW w:w="4327" w:type="pct"/>
            <w:tcBorders>
              <w:top w:val="nil"/>
              <w:left w:val="single" w:sz="4" w:space="0" w:color="auto"/>
              <w:bottom w:val="single" w:sz="4" w:space="0" w:color="auto"/>
              <w:right w:val="single" w:sz="4" w:space="0" w:color="auto"/>
            </w:tcBorders>
            <w:shd w:val="clear" w:color="auto" w:fill="auto"/>
            <w:noWrap/>
            <w:vAlign w:val="center"/>
            <w:hideMark/>
          </w:tcPr>
          <w:p w:rsidR="007E499C" w:rsidRPr="0024382B" w:rsidRDefault="00C45599" w:rsidP="00D57F12">
            <w:pPr>
              <w:spacing w:before="80" w:after="80"/>
              <w:rPr>
                <w:rFonts w:cstheme="minorHAnsi"/>
                <w:b/>
                <w:color w:val="000000" w:themeColor="text1"/>
                <w:sz w:val="18"/>
                <w:szCs w:val="18"/>
                <w:lang w:eastAsia="es-ES"/>
              </w:rPr>
            </w:pPr>
            <w:hyperlink r:id="rId37" w:history="1">
              <w:r w:rsidR="007E499C" w:rsidRPr="0024382B">
                <w:rPr>
                  <w:rStyle w:val="Hipervnculo"/>
                  <w:rFonts w:cstheme="minorHAnsi"/>
                  <w:color w:val="000000" w:themeColor="text1"/>
                  <w:sz w:val="18"/>
                  <w:szCs w:val="18"/>
                  <w:u w:val="none"/>
                  <w:lang w:eastAsia="es-ES"/>
                </w:rPr>
                <w:t>Normativa en tramitación</w:t>
              </w:r>
            </w:hyperlink>
          </w:p>
        </w:tc>
        <w:tc>
          <w:tcPr>
            <w:tcW w:w="673" w:type="pct"/>
            <w:tcBorders>
              <w:top w:val="nil"/>
              <w:left w:val="nil"/>
              <w:bottom w:val="single" w:sz="4" w:space="0" w:color="auto"/>
              <w:right w:val="single" w:sz="4" w:space="0" w:color="auto"/>
            </w:tcBorders>
            <w:shd w:val="clear" w:color="auto" w:fill="auto"/>
            <w:noWrap/>
            <w:vAlign w:val="center"/>
            <w:hideMark/>
          </w:tcPr>
          <w:p w:rsidR="007E499C" w:rsidRPr="0024382B" w:rsidRDefault="004368DE" w:rsidP="00D57F12">
            <w:pPr>
              <w:spacing w:before="80" w:after="80"/>
              <w:jc w:val="right"/>
              <w:rPr>
                <w:rFonts w:cstheme="minorHAnsi"/>
                <w:b/>
                <w:color w:val="000000" w:themeColor="text1"/>
                <w:sz w:val="16"/>
                <w:szCs w:val="16"/>
                <w:lang w:eastAsia="es-ES"/>
              </w:rPr>
            </w:pPr>
            <w:r>
              <w:rPr>
                <w:rFonts w:cstheme="minorHAnsi"/>
                <w:color w:val="000000" w:themeColor="text1"/>
                <w:sz w:val="16"/>
                <w:szCs w:val="16"/>
                <w:lang w:eastAsia="es-ES"/>
              </w:rPr>
              <w:t>30.</w:t>
            </w:r>
            <w:r w:rsidR="007E499C" w:rsidRPr="0024382B">
              <w:rPr>
                <w:rFonts w:cstheme="minorHAnsi"/>
                <w:color w:val="000000" w:themeColor="text1"/>
                <w:sz w:val="16"/>
                <w:szCs w:val="16"/>
                <w:lang w:eastAsia="es-ES"/>
              </w:rPr>
              <w:t>833</w:t>
            </w:r>
          </w:p>
        </w:tc>
      </w:tr>
      <w:tr w:rsidR="0024382B" w:rsidRPr="0024382B" w:rsidTr="00C428D5">
        <w:trPr>
          <w:trHeight w:val="56"/>
        </w:trPr>
        <w:tc>
          <w:tcPr>
            <w:tcW w:w="4327" w:type="pct"/>
            <w:tcBorders>
              <w:top w:val="nil"/>
              <w:left w:val="single" w:sz="4" w:space="0" w:color="auto"/>
              <w:bottom w:val="single" w:sz="4" w:space="0" w:color="auto"/>
              <w:right w:val="single" w:sz="4" w:space="0" w:color="auto"/>
            </w:tcBorders>
            <w:shd w:val="clear" w:color="auto" w:fill="auto"/>
            <w:noWrap/>
            <w:vAlign w:val="center"/>
            <w:hideMark/>
          </w:tcPr>
          <w:p w:rsidR="007E499C" w:rsidRPr="0024382B" w:rsidRDefault="00C45599" w:rsidP="00D57F12">
            <w:pPr>
              <w:spacing w:before="80" w:after="80"/>
              <w:rPr>
                <w:rFonts w:cstheme="minorHAnsi"/>
                <w:b/>
                <w:color w:val="000000" w:themeColor="text1"/>
                <w:sz w:val="18"/>
                <w:szCs w:val="18"/>
                <w:lang w:eastAsia="es-ES"/>
              </w:rPr>
            </w:pPr>
            <w:hyperlink r:id="rId38" w:history="1">
              <w:r w:rsidR="007E499C" w:rsidRPr="0024382B">
                <w:rPr>
                  <w:rStyle w:val="Hipervnculo"/>
                  <w:rFonts w:cstheme="minorHAnsi"/>
                  <w:color w:val="000000" w:themeColor="text1"/>
                  <w:sz w:val="18"/>
                  <w:szCs w:val="18"/>
                  <w:u w:val="none"/>
                  <w:lang w:eastAsia="es-ES"/>
                </w:rPr>
                <w:t>Personal eventual</w:t>
              </w:r>
            </w:hyperlink>
          </w:p>
        </w:tc>
        <w:tc>
          <w:tcPr>
            <w:tcW w:w="673" w:type="pct"/>
            <w:tcBorders>
              <w:top w:val="nil"/>
              <w:left w:val="nil"/>
              <w:bottom w:val="single" w:sz="4" w:space="0" w:color="auto"/>
              <w:right w:val="single" w:sz="4" w:space="0" w:color="auto"/>
            </w:tcBorders>
            <w:shd w:val="clear" w:color="auto" w:fill="auto"/>
            <w:noWrap/>
            <w:vAlign w:val="center"/>
            <w:hideMark/>
          </w:tcPr>
          <w:p w:rsidR="007E499C" w:rsidRPr="0024382B" w:rsidRDefault="004368DE" w:rsidP="00D57F12">
            <w:pPr>
              <w:spacing w:before="80" w:after="80"/>
              <w:jc w:val="right"/>
              <w:rPr>
                <w:rFonts w:cstheme="minorHAnsi"/>
                <w:b/>
                <w:color w:val="000000" w:themeColor="text1"/>
                <w:sz w:val="16"/>
                <w:szCs w:val="16"/>
                <w:lang w:eastAsia="es-ES"/>
              </w:rPr>
            </w:pPr>
            <w:r>
              <w:rPr>
                <w:rFonts w:cstheme="minorHAnsi"/>
                <w:color w:val="000000" w:themeColor="text1"/>
                <w:sz w:val="16"/>
                <w:szCs w:val="16"/>
                <w:lang w:eastAsia="es-ES"/>
              </w:rPr>
              <w:t>28.</w:t>
            </w:r>
            <w:r w:rsidR="007E499C" w:rsidRPr="0024382B">
              <w:rPr>
                <w:rFonts w:cstheme="minorHAnsi"/>
                <w:color w:val="000000" w:themeColor="text1"/>
                <w:sz w:val="16"/>
                <w:szCs w:val="16"/>
                <w:lang w:eastAsia="es-ES"/>
              </w:rPr>
              <w:t>595</w:t>
            </w:r>
          </w:p>
        </w:tc>
      </w:tr>
    </w:tbl>
    <w:p w:rsidR="007E499C" w:rsidRPr="00C428D5" w:rsidRDefault="007E499C" w:rsidP="007E499C">
      <w:pPr>
        <w:pStyle w:val="Textodeprrafo"/>
        <w:rPr>
          <w:sz w:val="22"/>
          <w:szCs w:val="22"/>
        </w:rPr>
      </w:pPr>
      <w:r w:rsidRPr="00C428D5">
        <w:rPr>
          <w:sz w:val="22"/>
          <w:szCs w:val="22"/>
        </w:rPr>
        <w:lastRenderedPageBreak/>
        <w:t xml:space="preserve">En cuanto al contenido más descargado del Portal, destacan, entre otros, documentos relacionados con las nóminas del personal de la Comunidad de Madrid, la educación, la protección civil o la Ley </w:t>
      </w:r>
      <w:proofErr w:type="spellStart"/>
      <w:r w:rsidRPr="00C428D5">
        <w:rPr>
          <w:sz w:val="22"/>
          <w:szCs w:val="22"/>
        </w:rPr>
        <w:t>Omnibus</w:t>
      </w:r>
      <w:proofErr w:type="spellEnd"/>
      <w:r w:rsidRPr="00C428D5">
        <w:rPr>
          <w:sz w:val="22"/>
          <w:szCs w:val="22"/>
        </w:rPr>
        <w:t xml:space="preserve"> para el impulso de la actividad económica y la modernización de la Administración de la Comunidad de Madrid.</w:t>
      </w:r>
    </w:p>
    <w:p w:rsidR="007E499C" w:rsidRPr="00C428D5" w:rsidRDefault="007E499C" w:rsidP="007E499C">
      <w:pPr>
        <w:pStyle w:val="Textodeprrafo"/>
        <w:rPr>
          <w:sz w:val="22"/>
          <w:szCs w:val="22"/>
        </w:rPr>
      </w:pPr>
    </w:p>
    <w:p w:rsidR="007E499C" w:rsidRDefault="007E499C" w:rsidP="007E499C">
      <w:pPr>
        <w:pStyle w:val="Subttulo"/>
        <w:spacing w:before="0" w:line="20" w:lineRule="atLeast"/>
        <w:rPr>
          <w:rFonts w:eastAsia="Calibri"/>
          <w:szCs w:val="20"/>
          <w:lang w:eastAsia="en-US"/>
        </w:rPr>
      </w:pPr>
      <w:bookmarkStart w:id="148" w:name="_Toc98333371"/>
      <w:r>
        <w:rPr>
          <w:rFonts w:cs="Arial"/>
          <w:color w:val="2F5496"/>
        </w:rPr>
        <w:t xml:space="preserve">Tabla </w:t>
      </w:r>
      <w:r w:rsidR="00D0148C">
        <w:rPr>
          <w:rFonts w:cs="Arial"/>
          <w:color w:val="2F5496"/>
        </w:rPr>
        <w:t>4.</w:t>
      </w:r>
      <w:r>
        <w:rPr>
          <w:rFonts w:cs="Arial"/>
          <w:color w:val="2F5496"/>
        </w:rPr>
        <w:t xml:space="preserve">9: Los 10 contenidos </w:t>
      </w:r>
      <w:r w:rsidR="006D2C0D">
        <w:rPr>
          <w:rFonts w:cs="Arial"/>
          <w:color w:val="2F5496"/>
        </w:rPr>
        <w:t>más descargados</w:t>
      </w:r>
      <w:r w:rsidRPr="00D33638">
        <w:rPr>
          <w:rFonts w:cs="Arial"/>
          <w:color w:val="2F5496"/>
        </w:rPr>
        <w:t xml:space="preserve"> </w:t>
      </w:r>
      <w:r>
        <w:rPr>
          <w:rFonts w:cs="Arial"/>
          <w:color w:val="2F5496"/>
        </w:rPr>
        <w:t xml:space="preserve">del </w:t>
      </w:r>
      <w:r w:rsidRPr="00D33638">
        <w:rPr>
          <w:rFonts w:cs="Arial"/>
          <w:color w:val="2F5496"/>
        </w:rPr>
        <w:t>Portal de Transparencia en 202</w:t>
      </w:r>
      <w:r>
        <w:rPr>
          <w:rFonts w:cs="Arial"/>
          <w:color w:val="2F5496"/>
        </w:rPr>
        <w:t>2</w:t>
      </w:r>
      <w:bookmarkStart w:id="149" w:name="_Toc64153880"/>
      <w:bookmarkStart w:id="150" w:name="_Toc98333372"/>
      <w:bookmarkEnd w:id="148"/>
      <w:r w:rsidR="00310376">
        <w:rPr>
          <w:rFonts w:cs="Arial"/>
          <w:color w:val="2F5496"/>
        </w:rPr>
        <w:t xml:space="preserve"> con el número de descargas</w:t>
      </w:r>
    </w:p>
    <w:bookmarkEnd w:id="149"/>
    <w:bookmarkEnd w:id="150"/>
    <w:p w:rsidR="002F6243" w:rsidRDefault="00FD3915">
      <w:pPr>
        <w:rPr>
          <w:rFonts w:ascii="Arial" w:eastAsiaTheme="majorEastAsia" w:hAnsi="Arial" w:cs="Arial"/>
          <w:b/>
          <w:color w:val="2F5496"/>
          <w:sz w:val="24"/>
          <w:szCs w:val="24"/>
          <w:lang w:val="es-ES_tradnl" w:eastAsia="es-ES_tradnl"/>
        </w:rPr>
      </w:pPr>
      <w:r>
        <w:rPr>
          <w:rFonts w:ascii="Arial" w:eastAsiaTheme="majorEastAsia" w:hAnsi="Arial" w:cs="Arial"/>
          <w:b/>
          <w:noProof/>
          <w:color w:val="2F5496"/>
          <w:sz w:val="24"/>
          <w:szCs w:val="24"/>
          <w:lang w:eastAsia="es-ES"/>
        </w:rPr>
        <w:drawing>
          <wp:inline distT="0" distB="0" distL="0" distR="0">
            <wp:extent cx="5579745" cy="6667500"/>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2_img 10_Mesa de trabajo 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79745" cy="6667500"/>
                    </a:xfrm>
                    <a:prstGeom prst="rect">
                      <a:avLst/>
                    </a:prstGeom>
                  </pic:spPr>
                </pic:pic>
              </a:graphicData>
            </a:graphic>
          </wp:inline>
        </w:drawing>
      </w:r>
    </w:p>
    <w:p w:rsidR="00FD3915" w:rsidRDefault="00FD3915">
      <w:pPr>
        <w:rPr>
          <w:rFonts w:ascii="Arial" w:eastAsiaTheme="majorEastAsia" w:hAnsi="Arial" w:cs="Arial"/>
          <w:b/>
          <w:color w:val="2F5496"/>
          <w:sz w:val="24"/>
          <w:szCs w:val="24"/>
          <w:lang w:val="es-ES_tradnl" w:eastAsia="es-ES_tradnl"/>
        </w:rPr>
      </w:pPr>
      <w:r>
        <w:rPr>
          <w:rFonts w:ascii="Arial" w:eastAsiaTheme="majorEastAsia" w:hAnsi="Arial" w:cs="Arial"/>
          <w:b/>
          <w:color w:val="2F5496"/>
          <w:sz w:val="24"/>
          <w:szCs w:val="24"/>
          <w:lang w:val="es-ES_tradnl" w:eastAsia="es-ES_tradnl"/>
        </w:rPr>
        <w:br w:type="page"/>
      </w:r>
    </w:p>
    <w:p w:rsidR="00255CDA" w:rsidRDefault="00701057" w:rsidP="00255CDA">
      <w:pPr>
        <w:pStyle w:val="Ttulo2"/>
        <w:numPr>
          <w:ilvl w:val="0"/>
          <w:numId w:val="0"/>
        </w:numPr>
        <w:ind w:left="576" w:hanging="576"/>
        <w:rPr>
          <w:rFonts w:ascii="Arial" w:hAnsi="Arial" w:cs="Arial"/>
          <w:color w:val="2F5496"/>
          <w:sz w:val="24"/>
          <w:szCs w:val="24"/>
        </w:rPr>
      </w:pPr>
      <w:r w:rsidRPr="00701057">
        <w:rPr>
          <w:rFonts w:ascii="Arial" w:hAnsi="Arial" w:cs="Arial"/>
          <w:noProof/>
          <w:color w:val="2F5496"/>
          <w:sz w:val="24"/>
          <w:szCs w:val="24"/>
          <w:lang w:val="es-ES" w:eastAsia="es-ES"/>
        </w:rPr>
        <w:lastRenderedPageBreak/>
        <w:drawing>
          <wp:inline distT="0" distB="0" distL="0" distR="0">
            <wp:extent cx="2520000" cy="1382400"/>
            <wp:effectExtent l="0" t="0" r="0" b="8255"/>
            <wp:docPr id="19" name="Imagen 19" descr="E:\INFORME ANUAL\cumplimiento año 2023\Números capítulos\cap 5_Mesa de trabaj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NFORME ANUAL\cumplimiento año 2023\Números capítulos\cap 5_Mesa de trabajo 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20000" cy="1382400"/>
                    </a:xfrm>
                    <a:prstGeom prst="rect">
                      <a:avLst/>
                    </a:prstGeom>
                    <a:noFill/>
                    <a:ln>
                      <a:noFill/>
                    </a:ln>
                  </pic:spPr>
                </pic:pic>
              </a:graphicData>
            </a:graphic>
          </wp:inline>
        </w:drawing>
      </w:r>
    </w:p>
    <w:p w:rsidR="00945714" w:rsidRPr="00945714" w:rsidRDefault="00945714" w:rsidP="00945714">
      <w:pPr>
        <w:pStyle w:val="Textodeprrafo"/>
        <w:rPr>
          <w:sz w:val="22"/>
          <w:szCs w:val="22"/>
        </w:rPr>
      </w:pPr>
      <w:r w:rsidRPr="00945714">
        <w:rPr>
          <w:sz w:val="22"/>
          <w:szCs w:val="22"/>
        </w:rPr>
        <w:t>Durante los dos primeros años de vigencia de la LTPCM, el objetivo principal ha sido cumplir las obligaciones previstas en la misma, tanto en el ámbito de la publicidad activa como en el del ejercicio del derecho de acceso a la información pública. Cumplido este reto, durante el año 2022 los esfuerzos se han centrado en mantener actualizado el amplio catálogo de información que se ofrece en el Portal de Transparencia, mejorar su visualización y su accesibilidad, y conservar los buenos resultados que se vienen obteniendo en la gestión de las solicitudes de acceso a la información pública.</w:t>
      </w:r>
    </w:p>
    <w:p w:rsidR="00945714" w:rsidRPr="00945714" w:rsidRDefault="00945714" w:rsidP="00945714">
      <w:pPr>
        <w:pStyle w:val="Textodeprrafo"/>
        <w:rPr>
          <w:sz w:val="22"/>
          <w:szCs w:val="22"/>
          <w:lang w:val="es-ES_tradnl"/>
        </w:rPr>
      </w:pPr>
      <w:r w:rsidRPr="00945714">
        <w:rPr>
          <w:sz w:val="22"/>
          <w:szCs w:val="22"/>
        </w:rPr>
        <w:t xml:space="preserve">En el ámbito de la </w:t>
      </w:r>
      <w:r w:rsidRPr="00945714">
        <w:rPr>
          <w:b/>
          <w:sz w:val="22"/>
          <w:szCs w:val="22"/>
        </w:rPr>
        <w:t>publicidad activa</w:t>
      </w:r>
      <w:r w:rsidRPr="00945714">
        <w:rPr>
          <w:sz w:val="22"/>
          <w:szCs w:val="22"/>
        </w:rPr>
        <w:t xml:space="preserve">, aparte de mantener </w:t>
      </w:r>
      <w:r w:rsidRPr="00945714">
        <w:rPr>
          <w:sz w:val="22"/>
          <w:szCs w:val="22"/>
          <w:lang w:val="es-ES_tradnl"/>
        </w:rPr>
        <w:t xml:space="preserve">la información del Capítulo II del Título II de la LTPCM, se ha trabajado en ofrecer en el Portal de Transparencia información de interés </w:t>
      </w:r>
      <w:r w:rsidRPr="00945714">
        <w:rPr>
          <w:sz w:val="22"/>
          <w:szCs w:val="22"/>
        </w:rPr>
        <w:t xml:space="preserve">relacionada con el funcionamiento y control de la actuación pública madrileña. Prueba de ello ha sido la publicación de contenidos relevantes en el año 2022, como el de </w:t>
      </w:r>
      <w:r w:rsidRPr="00945714">
        <w:rPr>
          <w:sz w:val="22"/>
          <w:szCs w:val="22"/>
          <w:lang w:val="es-ES_tradnl"/>
        </w:rPr>
        <w:t xml:space="preserve">los desplazados de Ucrania con información sobre las actuaciones llevadas a cabo para facilitarles el acceso a los servicios públicos puestos a su disposición; un nuevo contenido sobre estudios demoscópicos y estadísticos; o el contenido denominado “Dónde van mis impuestos”, que permite </w:t>
      </w:r>
      <w:r w:rsidRPr="00945714">
        <w:rPr>
          <w:sz w:val="22"/>
          <w:szCs w:val="22"/>
        </w:rPr>
        <w:t>saber a qué se dedican los impuestos en la Comunidad de Madrid</w:t>
      </w:r>
      <w:r w:rsidRPr="00945714">
        <w:rPr>
          <w:sz w:val="22"/>
          <w:szCs w:val="22"/>
          <w:lang w:val="es-ES_tradnl"/>
        </w:rPr>
        <w:t>.</w:t>
      </w:r>
    </w:p>
    <w:p w:rsidR="00945714" w:rsidRPr="00945714" w:rsidRDefault="00945714" w:rsidP="00945714">
      <w:pPr>
        <w:pStyle w:val="Textodeprrafo"/>
        <w:rPr>
          <w:sz w:val="22"/>
          <w:szCs w:val="22"/>
        </w:rPr>
      </w:pPr>
      <w:r w:rsidRPr="00945714">
        <w:rPr>
          <w:sz w:val="22"/>
          <w:szCs w:val="22"/>
        </w:rPr>
        <w:t xml:space="preserve">Respecto al </w:t>
      </w:r>
      <w:r w:rsidRPr="00945714">
        <w:rPr>
          <w:b/>
          <w:sz w:val="22"/>
          <w:szCs w:val="22"/>
        </w:rPr>
        <w:t>derecho de acceso a la información pública</w:t>
      </w:r>
      <w:r w:rsidRPr="00945714">
        <w:rPr>
          <w:sz w:val="22"/>
          <w:szCs w:val="22"/>
        </w:rPr>
        <w:t>, como se ha analizado en el informe, durante el año 2022 se ha seguido tramitando un importante número de solicitudes de acceso (1</w:t>
      </w:r>
      <w:r w:rsidR="004368DE">
        <w:rPr>
          <w:sz w:val="22"/>
          <w:szCs w:val="22"/>
        </w:rPr>
        <w:t>.</w:t>
      </w:r>
      <w:r w:rsidRPr="00945714">
        <w:rPr>
          <w:sz w:val="22"/>
          <w:szCs w:val="22"/>
        </w:rPr>
        <w:t>351 solicitudes) con un porcentaje de reconocimientos elevado (75%).</w:t>
      </w:r>
    </w:p>
    <w:p w:rsidR="00945714" w:rsidRPr="00945714" w:rsidRDefault="00945714" w:rsidP="00945714">
      <w:pPr>
        <w:pStyle w:val="Textodeprrafo"/>
        <w:rPr>
          <w:sz w:val="22"/>
          <w:szCs w:val="22"/>
        </w:rPr>
      </w:pPr>
      <w:r w:rsidRPr="00945714">
        <w:rPr>
          <w:sz w:val="22"/>
          <w:szCs w:val="22"/>
        </w:rPr>
        <w:t>En este ámbito, se ha continuado trabajando de manera coordinada entre la Subdirección General de Gobierno Abierto y Transparencia y las unidades de transparencia de las distintas consejerías para cumplir con rigor las exigencias de la Ley y resolver en tiempo y forma las solicitudes presentadas. Gracias a este esfuerzo conjunto y coordinado, en el año 2022 se han resuelto en plazo un 97% de las solicitudes. Asimismo, se puede poner en valor que en 7 de cada 10 solicitudes se ha proporcionado el acceso a la información pública solicitada. Se han interpuesto 106 reclamaciones ante el CTYP, de las cuales, hasta la fecha en la que se dispone de datos, tan solo 21 resoluciones del Consejo han sido estimatorias, instando a la Administración a facilitar la información.</w:t>
      </w:r>
    </w:p>
    <w:p w:rsidR="00945714" w:rsidRPr="00945714" w:rsidRDefault="00945714" w:rsidP="00945714">
      <w:pPr>
        <w:pStyle w:val="Textodeprrafo"/>
        <w:rPr>
          <w:sz w:val="22"/>
          <w:szCs w:val="22"/>
        </w:rPr>
      </w:pPr>
      <w:r w:rsidRPr="00945714">
        <w:rPr>
          <w:sz w:val="22"/>
          <w:szCs w:val="22"/>
        </w:rPr>
        <w:t xml:space="preserve">La Comunidad de Madrid es consciente de que la mejora en términos de transparencia contribuye a aumentar la calidad en la prestación de los servicios públicos, así como resulta un factor determinante para la confianza de los ciudadanos en las instituciones madrileñas. Por ello, esta Administración continúa apostando por mantener una postura proactiva y garantista en la accesibilidad a la información pública y el cumplimiento de la LTPCM, acercando más la Administración a los ciudadanos e impulsando un funcionamiento y gestión de los recursos públicos más eficaz y eficiente. </w:t>
      </w:r>
    </w:p>
    <w:p w:rsidR="00945714" w:rsidRPr="00945714" w:rsidRDefault="00945714" w:rsidP="00945714">
      <w:pPr>
        <w:pStyle w:val="Textodeprrafo"/>
        <w:jc w:val="center"/>
        <w:rPr>
          <w:sz w:val="22"/>
          <w:szCs w:val="22"/>
        </w:rPr>
      </w:pPr>
      <w:r w:rsidRPr="00945714">
        <w:rPr>
          <w:sz w:val="22"/>
          <w:szCs w:val="22"/>
        </w:rPr>
        <w:t>EL DIRECTOR GENERAL DE TRANSPARENCIA Y ATENCIÓN AL CIUDADANO</w:t>
      </w:r>
    </w:p>
    <w:p w:rsidR="00945714" w:rsidRPr="00945714" w:rsidRDefault="00945714" w:rsidP="00945714">
      <w:pPr>
        <w:pStyle w:val="Textodeprrafo"/>
        <w:jc w:val="center"/>
        <w:rPr>
          <w:sz w:val="22"/>
          <w:szCs w:val="22"/>
        </w:rPr>
      </w:pPr>
    </w:p>
    <w:p w:rsidR="00945714" w:rsidRPr="00945714" w:rsidRDefault="00945714" w:rsidP="00945714">
      <w:pPr>
        <w:pStyle w:val="Textodeprrafo"/>
        <w:jc w:val="center"/>
        <w:rPr>
          <w:sz w:val="22"/>
          <w:szCs w:val="22"/>
        </w:rPr>
      </w:pPr>
    </w:p>
    <w:p w:rsidR="007E499C" w:rsidRPr="00945714" w:rsidRDefault="00945714" w:rsidP="00945714">
      <w:pPr>
        <w:pStyle w:val="Textodeprrafo"/>
        <w:jc w:val="center"/>
        <w:rPr>
          <w:sz w:val="22"/>
          <w:szCs w:val="22"/>
        </w:rPr>
      </w:pPr>
      <w:r w:rsidRPr="00945714">
        <w:rPr>
          <w:sz w:val="22"/>
          <w:szCs w:val="22"/>
        </w:rPr>
        <w:t>Pablo García</w:t>
      </w:r>
      <w:r>
        <w:rPr>
          <w:sz w:val="22"/>
          <w:szCs w:val="22"/>
        </w:rPr>
        <w:t xml:space="preserve"> -Valdecasas Rodríguez de Rivera</w:t>
      </w:r>
    </w:p>
    <w:sectPr w:rsidR="007E499C" w:rsidRPr="00945714" w:rsidSect="00C05129">
      <w:footerReference w:type="default" r:id="rId41"/>
      <w:pgSz w:w="11906" w:h="16838"/>
      <w:pgMar w:top="1418"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228F" w:rsidRDefault="0062228F" w:rsidP="00D824D1">
      <w:pPr>
        <w:spacing w:after="0" w:line="240" w:lineRule="auto"/>
      </w:pPr>
      <w:r>
        <w:separator/>
      </w:r>
    </w:p>
  </w:endnote>
  <w:endnote w:type="continuationSeparator" w:id="0">
    <w:p w:rsidR="0062228F" w:rsidRDefault="0062228F" w:rsidP="00D824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753650017"/>
      <w:docPartObj>
        <w:docPartGallery w:val="Page Numbers (Bottom of Page)"/>
        <w:docPartUnique/>
      </w:docPartObj>
    </w:sdtPr>
    <w:sdtEndPr>
      <w:rPr>
        <w:rStyle w:val="Nmerodepgina"/>
      </w:rPr>
    </w:sdtEndPr>
    <w:sdtContent>
      <w:p w:rsidR="0033316E" w:rsidRDefault="0033316E" w:rsidP="0033316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rsidR="0033316E" w:rsidRDefault="0033316E" w:rsidP="00C05129">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16E" w:rsidRPr="00D824D1" w:rsidRDefault="0033316E" w:rsidP="00D824D1">
    <w:pPr>
      <w:pStyle w:val="Piedepgina"/>
      <w:ind w:right="360"/>
      <w:rPr>
        <w:rFonts w:ascii="Arial" w:hAnsi="Arial" w:cs="Arial"/>
        <w:sz w:val="18"/>
        <w:szCs w:val="18"/>
      </w:rPr>
    </w:pPr>
    <w:r>
      <w:rPr>
        <w:rFonts w:ascii="Arial" w:hAnsi="Arial" w:cs="Arial"/>
        <w:noProof/>
        <w:sz w:val="18"/>
        <w:szCs w:val="18"/>
        <w:lang w:eastAsia="es-ES"/>
      </w:rPr>
      <mc:AlternateContent>
        <mc:Choice Requires="wps">
          <w:drawing>
            <wp:anchor distT="0" distB="0" distL="114300" distR="114300" simplePos="0" relativeHeight="251659264" behindDoc="0" locked="0" layoutInCell="1" allowOverlap="1" wp14:anchorId="3FBA82A4" wp14:editId="7132961B">
              <wp:simplePos x="0" y="0"/>
              <wp:positionH relativeFrom="column">
                <wp:posOffset>5274366</wp:posOffset>
              </wp:positionH>
              <wp:positionV relativeFrom="paragraph">
                <wp:posOffset>-48582</wp:posOffset>
              </wp:positionV>
              <wp:extent cx="0" cy="243069"/>
              <wp:effectExtent l="0" t="0" r="12700" b="11430"/>
              <wp:wrapNone/>
              <wp:docPr id="4" name="Conector recto 4"/>
              <wp:cNvGraphicFramePr/>
              <a:graphic xmlns:a="http://schemas.openxmlformats.org/drawingml/2006/main">
                <a:graphicData uri="http://schemas.microsoft.com/office/word/2010/wordprocessingShape">
                  <wps:wsp>
                    <wps:cNvCnPr/>
                    <wps:spPr>
                      <a:xfrm>
                        <a:off x="0" y="0"/>
                        <a:ext cx="0" cy="243069"/>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BBA573D" id="Conector recto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15.3pt,-3.85pt" to="415.3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" strokecolor="#5b9bd5 [3204]" strokeweight=".5pt">
              <v:stroke joinstyle="miter"/>
            </v:line>
          </w:pict>
        </mc:Fallback>
      </mc:AlternateContent>
    </w:r>
    <w:r w:rsidRPr="00502400">
      <w:rPr>
        <w:rFonts w:ascii="Arial" w:hAnsi="Arial" w:cs="Arial"/>
        <w:sz w:val="18"/>
        <w:szCs w:val="18"/>
      </w:rPr>
      <w:t>Cumplimiento de obligaciones de publicidad activa y derecho de acceso a la información pública en la Comunidad de Madrid. Informe 2022</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Fonts w:asciiTheme="minorBidi" w:hAnsiTheme="minorBidi"/>
        <w:sz w:val="18"/>
        <w:szCs w:val="18"/>
      </w:rPr>
      <w:id w:val="-1835679751"/>
      <w:docPartObj>
        <w:docPartGallery w:val="Page Numbers (Bottom of Page)"/>
        <w:docPartUnique/>
      </w:docPartObj>
    </w:sdtPr>
    <w:sdtEndPr>
      <w:rPr>
        <w:rStyle w:val="Nmerodepgina"/>
      </w:rPr>
    </w:sdtEndPr>
    <w:sdtContent>
      <w:p w:rsidR="0033316E" w:rsidRPr="00C05129" w:rsidRDefault="0033316E" w:rsidP="0033316E">
        <w:pPr>
          <w:pStyle w:val="Piedepgina"/>
          <w:framePr w:wrap="none" w:vAnchor="text" w:hAnchor="margin" w:xAlign="right" w:y="1"/>
          <w:rPr>
            <w:rStyle w:val="Nmerodepgina"/>
            <w:rFonts w:asciiTheme="minorBidi" w:hAnsiTheme="minorBidi"/>
            <w:sz w:val="18"/>
            <w:szCs w:val="18"/>
          </w:rPr>
        </w:pPr>
        <w:r>
          <w:rPr>
            <w:rStyle w:val="Nmerodepgina"/>
            <w:rFonts w:asciiTheme="minorBidi" w:hAnsiTheme="minorBidi"/>
            <w:sz w:val="18"/>
            <w:szCs w:val="18"/>
          </w:rPr>
          <w:t xml:space="preserve">p. </w:t>
        </w:r>
        <w:r w:rsidRPr="00C05129">
          <w:rPr>
            <w:rStyle w:val="Nmerodepgina"/>
            <w:rFonts w:asciiTheme="minorBidi" w:hAnsiTheme="minorBidi"/>
            <w:sz w:val="18"/>
            <w:szCs w:val="18"/>
          </w:rPr>
          <w:fldChar w:fldCharType="begin"/>
        </w:r>
        <w:r w:rsidRPr="00C05129">
          <w:rPr>
            <w:rStyle w:val="Nmerodepgina"/>
            <w:rFonts w:asciiTheme="minorBidi" w:hAnsiTheme="minorBidi"/>
            <w:sz w:val="18"/>
            <w:szCs w:val="18"/>
          </w:rPr>
          <w:instrText xml:space="preserve"> PAGE </w:instrText>
        </w:r>
        <w:r w:rsidRPr="00C05129">
          <w:rPr>
            <w:rStyle w:val="Nmerodepgina"/>
            <w:rFonts w:asciiTheme="minorBidi" w:hAnsiTheme="minorBidi"/>
            <w:sz w:val="18"/>
            <w:szCs w:val="18"/>
          </w:rPr>
          <w:fldChar w:fldCharType="separate"/>
        </w:r>
        <w:r w:rsidR="00C45599">
          <w:rPr>
            <w:rStyle w:val="Nmerodepgina"/>
            <w:rFonts w:asciiTheme="minorBidi" w:hAnsiTheme="minorBidi"/>
            <w:noProof/>
            <w:sz w:val="18"/>
            <w:szCs w:val="18"/>
          </w:rPr>
          <w:t>14</w:t>
        </w:r>
        <w:r w:rsidRPr="00C05129">
          <w:rPr>
            <w:rStyle w:val="Nmerodepgina"/>
            <w:rFonts w:asciiTheme="minorBidi" w:hAnsiTheme="minorBidi"/>
            <w:sz w:val="18"/>
            <w:szCs w:val="18"/>
          </w:rPr>
          <w:fldChar w:fldCharType="end"/>
        </w:r>
      </w:p>
    </w:sdtContent>
  </w:sdt>
  <w:p w:rsidR="0033316E" w:rsidRPr="00D824D1" w:rsidRDefault="0033316E" w:rsidP="00D824D1">
    <w:pPr>
      <w:pStyle w:val="Piedepgina"/>
      <w:ind w:right="360"/>
      <w:rPr>
        <w:rFonts w:ascii="Arial" w:hAnsi="Arial" w:cs="Arial"/>
        <w:sz w:val="18"/>
        <w:szCs w:val="18"/>
      </w:rPr>
    </w:pPr>
    <w:r>
      <w:rPr>
        <w:rFonts w:ascii="Arial" w:hAnsi="Arial" w:cs="Arial"/>
        <w:noProof/>
        <w:sz w:val="18"/>
        <w:szCs w:val="18"/>
        <w:lang w:eastAsia="es-ES"/>
      </w:rPr>
      <mc:AlternateContent>
        <mc:Choice Requires="wps">
          <w:drawing>
            <wp:anchor distT="0" distB="0" distL="114300" distR="114300" simplePos="0" relativeHeight="251661312" behindDoc="0" locked="0" layoutInCell="1" allowOverlap="1" wp14:anchorId="71C0FA8B" wp14:editId="13589B50">
              <wp:simplePos x="0" y="0"/>
              <wp:positionH relativeFrom="column">
                <wp:posOffset>5274366</wp:posOffset>
              </wp:positionH>
              <wp:positionV relativeFrom="paragraph">
                <wp:posOffset>-48582</wp:posOffset>
              </wp:positionV>
              <wp:extent cx="0" cy="243069"/>
              <wp:effectExtent l="0" t="0" r="12700" b="11430"/>
              <wp:wrapNone/>
              <wp:docPr id="30" name="Conector recto 30"/>
              <wp:cNvGraphicFramePr/>
              <a:graphic xmlns:a="http://schemas.openxmlformats.org/drawingml/2006/main">
                <a:graphicData uri="http://schemas.microsoft.com/office/word/2010/wordprocessingShape">
                  <wps:wsp>
                    <wps:cNvCnPr/>
                    <wps:spPr>
                      <a:xfrm>
                        <a:off x="0" y="0"/>
                        <a:ext cx="0" cy="243069"/>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AFC89D4" id="Conector recto 3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15.3pt,-3.85pt" to="415.3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" strokecolor="#5b9bd5 [3204]" strokeweight=".5pt">
              <v:stroke joinstyle="miter"/>
            </v:line>
          </w:pict>
        </mc:Fallback>
      </mc:AlternateContent>
    </w:r>
    <w:r w:rsidRPr="00502400">
      <w:rPr>
        <w:rFonts w:ascii="Arial" w:hAnsi="Arial" w:cs="Arial"/>
        <w:sz w:val="18"/>
        <w:szCs w:val="18"/>
      </w:rPr>
      <w:t>Cumplimiento de obligaciones de publicidad activa y derecho de acceso a la información pública en la Comunidad de Madrid. Informe 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228F" w:rsidRDefault="0062228F" w:rsidP="00D824D1">
      <w:pPr>
        <w:spacing w:after="0" w:line="240" w:lineRule="auto"/>
      </w:pPr>
      <w:r>
        <w:separator/>
      </w:r>
    </w:p>
  </w:footnote>
  <w:footnote w:type="continuationSeparator" w:id="0">
    <w:p w:rsidR="0062228F" w:rsidRDefault="0062228F" w:rsidP="00D824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B46AA"/>
    <w:multiLevelType w:val="multilevel"/>
    <w:tmpl w:val="3E78FFD6"/>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0E9822EF"/>
    <w:multiLevelType w:val="hybridMultilevel"/>
    <w:tmpl w:val="126AB4FC"/>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1A8F1D7A"/>
    <w:multiLevelType w:val="multilevel"/>
    <w:tmpl w:val="131462A0"/>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2F07CED"/>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4631BF3"/>
    <w:multiLevelType w:val="multilevel"/>
    <w:tmpl w:val="E104182A"/>
    <w:lvl w:ilvl="0">
      <w:start w:val="2"/>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15:restartNumberingAfterBreak="0">
    <w:nsid w:val="30723A64"/>
    <w:multiLevelType w:val="multilevel"/>
    <w:tmpl w:val="18D04E3C"/>
    <w:lvl w:ilvl="0">
      <w:start w:val="2"/>
      <w:numFmt w:val="decimal"/>
      <w:lvlText w:val="%1"/>
      <w:lvlJc w:val="left"/>
      <w:pPr>
        <w:ind w:left="792" w:hanging="360"/>
      </w:pPr>
      <w:rPr>
        <w:rFonts w:hint="default"/>
      </w:rPr>
    </w:lvl>
    <w:lvl w:ilvl="1">
      <w:start w:val="1"/>
      <w:numFmt w:val="decimal"/>
      <w:isLgl/>
      <w:lvlText w:val="%1.%2"/>
      <w:lvlJc w:val="left"/>
      <w:pPr>
        <w:ind w:left="792"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6" w15:restartNumberingAfterBreak="0">
    <w:nsid w:val="4322325E"/>
    <w:multiLevelType w:val="multilevel"/>
    <w:tmpl w:val="E0DC105E"/>
    <w:lvl w:ilvl="0">
      <w:start w:val="1"/>
      <w:numFmt w:val="decimal"/>
      <w:pStyle w:val="Ttulo1"/>
      <w:lvlText w:val="%1"/>
      <w:lvlJc w:val="left"/>
      <w:pPr>
        <w:ind w:left="432" w:hanging="432"/>
      </w:pPr>
      <w:rPr>
        <w:color w:val="2F5496"/>
        <w:sz w:val="32"/>
        <w:szCs w:val="32"/>
      </w:rPr>
    </w:lvl>
    <w:lvl w:ilvl="1">
      <w:start w:val="1"/>
      <w:numFmt w:val="decimal"/>
      <w:pStyle w:val="Ttulo2"/>
      <w:lvlText w:val="%1.%2"/>
      <w:lvlJc w:val="left"/>
      <w:pPr>
        <w:ind w:left="576" w:hanging="576"/>
      </w:pPr>
      <w:rPr>
        <w:rFonts w:ascii="Arial" w:hAnsi="Arial" w:cs="Arial" w:hint="default"/>
        <w:color w:val="2F5496"/>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4439702C"/>
    <w:multiLevelType w:val="multilevel"/>
    <w:tmpl w:val="5544A81C"/>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408" w:hanging="1800"/>
      </w:pPr>
      <w:rPr>
        <w:rFonts w:hint="default"/>
      </w:rPr>
    </w:lvl>
  </w:abstractNum>
  <w:abstractNum w:abstractNumId="8" w15:restartNumberingAfterBreak="0">
    <w:nsid w:val="478625F9"/>
    <w:multiLevelType w:val="multilevel"/>
    <w:tmpl w:val="E104182A"/>
    <w:lvl w:ilvl="0">
      <w:start w:val="2"/>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4C8A1467"/>
    <w:multiLevelType w:val="multilevel"/>
    <w:tmpl w:val="B2C6D2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A34372D"/>
    <w:multiLevelType w:val="multilevel"/>
    <w:tmpl w:val="EBD4B3FA"/>
    <w:lvl w:ilvl="0">
      <w:start w:val="1"/>
      <w:numFmt w:val="decimal"/>
      <w:lvlText w:val="%1"/>
      <w:lvlJc w:val="left"/>
      <w:pPr>
        <w:ind w:left="840" w:hanging="840"/>
      </w:pPr>
      <w:rPr>
        <w:rFonts w:hint="default"/>
      </w:rPr>
    </w:lvl>
    <w:lvl w:ilvl="1">
      <w:start w:val="1"/>
      <w:numFmt w:val="decimal"/>
      <w:lvlText w:val="%1.%2"/>
      <w:lvlJc w:val="left"/>
      <w:pPr>
        <w:ind w:left="1416" w:hanging="840"/>
      </w:pPr>
      <w:rPr>
        <w:rFonts w:hint="default"/>
      </w:rPr>
    </w:lvl>
    <w:lvl w:ilvl="2">
      <w:start w:val="1"/>
      <w:numFmt w:val="decimal"/>
      <w:lvlText w:val="%1.%2.%3"/>
      <w:lvlJc w:val="left"/>
      <w:pPr>
        <w:ind w:left="1992" w:hanging="84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408" w:hanging="1800"/>
      </w:pPr>
      <w:rPr>
        <w:rFonts w:hint="default"/>
      </w:rPr>
    </w:lvl>
  </w:abstractNum>
  <w:abstractNum w:abstractNumId="11" w15:restartNumberingAfterBreak="0">
    <w:nsid w:val="61F71BF8"/>
    <w:multiLevelType w:val="hybridMultilevel"/>
    <w:tmpl w:val="B0D8C20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6A8A100A"/>
    <w:multiLevelType w:val="multilevel"/>
    <w:tmpl w:val="0A6AE4CE"/>
    <w:lvl w:ilvl="0">
      <w:start w:val="2"/>
      <w:numFmt w:val="decimal"/>
      <w:lvlText w:val="%1."/>
      <w:lvlJc w:val="left"/>
      <w:pPr>
        <w:ind w:left="540" w:hanging="540"/>
      </w:pPr>
      <w:rPr>
        <w:rFonts w:hint="default"/>
      </w:rPr>
    </w:lvl>
    <w:lvl w:ilvl="1">
      <w:start w:val="2"/>
      <w:numFmt w:val="decimal"/>
      <w:lvlText w:val="%1.%2."/>
      <w:lvlJc w:val="left"/>
      <w:pPr>
        <w:ind w:left="1429" w:hanging="72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6E5E4C08"/>
    <w:multiLevelType w:val="hybridMultilevel"/>
    <w:tmpl w:val="388A802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70B06FDE"/>
    <w:multiLevelType w:val="multilevel"/>
    <w:tmpl w:val="C278FBC8"/>
    <w:lvl w:ilvl="0">
      <w:start w:val="2"/>
      <w:numFmt w:val="decimal"/>
      <w:lvlText w:val="%1"/>
      <w:lvlJc w:val="left"/>
      <w:pPr>
        <w:ind w:left="480" w:hanging="480"/>
      </w:pPr>
      <w:rPr>
        <w:rFonts w:hint="default"/>
      </w:rPr>
    </w:lvl>
    <w:lvl w:ilvl="1">
      <w:start w:val="2"/>
      <w:numFmt w:val="decimal"/>
      <w:lvlText w:val="%1.%2"/>
      <w:lvlJc w:val="left"/>
      <w:pPr>
        <w:ind w:left="1092" w:hanging="480"/>
      </w:pPr>
      <w:rPr>
        <w:rFonts w:hint="default"/>
      </w:rPr>
    </w:lvl>
    <w:lvl w:ilvl="2">
      <w:start w:val="2"/>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15" w15:restartNumberingAfterBreak="0">
    <w:nsid w:val="79521F39"/>
    <w:multiLevelType w:val="multilevel"/>
    <w:tmpl w:val="EBD4B3FA"/>
    <w:lvl w:ilvl="0">
      <w:start w:val="1"/>
      <w:numFmt w:val="decimal"/>
      <w:lvlText w:val="%1"/>
      <w:lvlJc w:val="left"/>
      <w:pPr>
        <w:ind w:left="840" w:hanging="840"/>
      </w:pPr>
      <w:rPr>
        <w:rFonts w:hint="default"/>
      </w:rPr>
    </w:lvl>
    <w:lvl w:ilvl="1">
      <w:start w:val="1"/>
      <w:numFmt w:val="decimal"/>
      <w:lvlText w:val="%1.%2"/>
      <w:lvlJc w:val="left"/>
      <w:pPr>
        <w:ind w:left="1416" w:hanging="840"/>
      </w:pPr>
      <w:rPr>
        <w:rFonts w:hint="default"/>
      </w:rPr>
    </w:lvl>
    <w:lvl w:ilvl="2">
      <w:start w:val="1"/>
      <w:numFmt w:val="decimal"/>
      <w:lvlText w:val="%1.%2.%3"/>
      <w:lvlJc w:val="left"/>
      <w:pPr>
        <w:ind w:left="1992" w:hanging="84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408" w:hanging="1800"/>
      </w:pPr>
      <w:rPr>
        <w:rFonts w:hint="default"/>
      </w:rPr>
    </w:lvl>
  </w:abstractNum>
  <w:abstractNum w:abstractNumId="16" w15:restartNumberingAfterBreak="0">
    <w:nsid w:val="7CC31940"/>
    <w:multiLevelType w:val="multilevel"/>
    <w:tmpl w:val="131462A0"/>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CDC4BEF"/>
    <w:multiLevelType w:val="hybridMultilevel"/>
    <w:tmpl w:val="20048672"/>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3"/>
  </w:num>
  <w:num w:numId="2">
    <w:abstractNumId w:val="5"/>
  </w:num>
  <w:num w:numId="3">
    <w:abstractNumId w:val="14"/>
  </w:num>
  <w:num w:numId="4">
    <w:abstractNumId w:val="6"/>
  </w:num>
  <w:num w:numId="5">
    <w:abstractNumId w:val="7"/>
  </w:num>
  <w:num w:numId="6">
    <w:abstractNumId w:val="17"/>
  </w:num>
  <w:num w:numId="7">
    <w:abstractNumId w:val="2"/>
  </w:num>
  <w:num w:numId="8">
    <w:abstractNumId w:val="13"/>
  </w:num>
  <w:num w:numId="9">
    <w:abstractNumId w:val="11"/>
  </w:num>
  <w:num w:numId="10">
    <w:abstractNumId w:val="16"/>
  </w:num>
  <w:num w:numId="11">
    <w:abstractNumId w:val="1"/>
  </w:num>
  <w:num w:numId="12">
    <w:abstractNumId w:val="10"/>
  </w:num>
  <w:num w:numId="13">
    <w:abstractNumId w:val="15"/>
  </w:num>
  <w:num w:numId="14">
    <w:abstractNumId w:val="9"/>
  </w:num>
  <w:num w:numId="15">
    <w:abstractNumId w:val="8"/>
  </w:num>
  <w:num w:numId="16">
    <w:abstractNumId w:val="0"/>
  </w:num>
  <w:num w:numId="17">
    <w:abstractNumId w:val="12"/>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9E8"/>
    <w:rsid w:val="000A3407"/>
    <w:rsid w:val="000E474B"/>
    <w:rsid w:val="00134F50"/>
    <w:rsid w:val="0014226A"/>
    <w:rsid w:val="00183FFC"/>
    <w:rsid w:val="001B511B"/>
    <w:rsid w:val="001F7466"/>
    <w:rsid w:val="0020703C"/>
    <w:rsid w:val="00232657"/>
    <w:rsid w:val="0024382B"/>
    <w:rsid w:val="00247964"/>
    <w:rsid w:val="00251FBF"/>
    <w:rsid w:val="00255CDA"/>
    <w:rsid w:val="00292586"/>
    <w:rsid w:val="002B4BC7"/>
    <w:rsid w:val="002D50C9"/>
    <w:rsid w:val="002F6243"/>
    <w:rsid w:val="00310376"/>
    <w:rsid w:val="0033316E"/>
    <w:rsid w:val="004368DE"/>
    <w:rsid w:val="00476EC0"/>
    <w:rsid w:val="004F2BF5"/>
    <w:rsid w:val="00503B98"/>
    <w:rsid w:val="00546C28"/>
    <w:rsid w:val="005A57C4"/>
    <w:rsid w:val="005E02E8"/>
    <w:rsid w:val="0062228F"/>
    <w:rsid w:val="006362E2"/>
    <w:rsid w:val="006407AA"/>
    <w:rsid w:val="00644920"/>
    <w:rsid w:val="00645526"/>
    <w:rsid w:val="00675DFB"/>
    <w:rsid w:val="006A399E"/>
    <w:rsid w:val="006B7F39"/>
    <w:rsid w:val="006D2C0D"/>
    <w:rsid w:val="00701057"/>
    <w:rsid w:val="007356FD"/>
    <w:rsid w:val="0075724C"/>
    <w:rsid w:val="007B0525"/>
    <w:rsid w:val="007D68DA"/>
    <w:rsid w:val="007E499C"/>
    <w:rsid w:val="007E5914"/>
    <w:rsid w:val="008756AB"/>
    <w:rsid w:val="00880FCD"/>
    <w:rsid w:val="008A5059"/>
    <w:rsid w:val="00922E5C"/>
    <w:rsid w:val="00945714"/>
    <w:rsid w:val="00947847"/>
    <w:rsid w:val="009653BE"/>
    <w:rsid w:val="009A5956"/>
    <w:rsid w:val="00A67B68"/>
    <w:rsid w:val="00A72AF1"/>
    <w:rsid w:val="00A730EC"/>
    <w:rsid w:val="00A838D7"/>
    <w:rsid w:val="00B04539"/>
    <w:rsid w:val="00B26A3F"/>
    <w:rsid w:val="00B81C72"/>
    <w:rsid w:val="00B84530"/>
    <w:rsid w:val="00B93125"/>
    <w:rsid w:val="00BA368C"/>
    <w:rsid w:val="00C05129"/>
    <w:rsid w:val="00C35748"/>
    <w:rsid w:val="00C428D5"/>
    <w:rsid w:val="00C44ADE"/>
    <w:rsid w:val="00C45599"/>
    <w:rsid w:val="00C65EA2"/>
    <w:rsid w:val="00C74B76"/>
    <w:rsid w:val="00CB624E"/>
    <w:rsid w:val="00CF200C"/>
    <w:rsid w:val="00D0148C"/>
    <w:rsid w:val="00D57F12"/>
    <w:rsid w:val="00D67796"/>
    <w:rsid w:val="00D824D1"/>
    <w:rsid w:val="00DB6364"/>
    <w:rsid w:val="00E14145"/>
    <w:rsid w:val="00E26745"/>
    <w:rsid w:val="00E3787D"/>
    <w:rsid w:val="00E85167"/>
    <w:rsid w:val="00EB2CF0"/>
    <w:rsid w:val="00EE6992"/>
    <w:rsid w:val="00F019D1"/>
    <w:rsid w:val="00F3541D"/>
    <w:rsid w:val="00F957FD"/>
    <w:rsid w:val="00FD3915"/>
    <w:rsid w:val="00FE0BAF"/>
    <w:rsid w:val="00FF79E8"/>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30D4C"/>
  <w15:chartTrackingRefBased/>
  <w15:docId w15:val="{D7C492C8-3E8D-4373-8B4D-A9243598E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ARTÍCULOS"/>
    <w:basedOn w:val="Normal"/>
    <w:next w:val="Normal"/>
    <w:link w:val="Ttulo1Car"/>
    <w:uiPriority w:val="9"/>
    <w:qFormat/>
    <w:rsid w:val="00255CDA"/>
    <w:pPr>
      <w:keepNext/>
      <w:numPr>
        <w:numId w:val="4"/>
      </w:numPr>
      <w:spacing w:before="720" w:after="360" w:line="240" w:lineRule="auto"/>
      <w:outlineLvl w:val="0"/>
    </w:pPr>
    <w:rPr>
      <w:rFonts w:ascii="Arial" w:eastAsia="Times New Roman" w:hAnsi="Arial" w:cs="Times New Roman"/>
      <w:bCs/>
      <w:color w:val="2F5496"/>
      <w:kern w:val="32"/>
      <w:sz w:val="20"/>
      <w:szCs w:val="32"/>
      <w:u w:val="single"/>
      <w:lang w:val="es-ES_tradnl" w:eastAsia="es-ES_tradnl"/>
    </w:rPr>
  </w:style>
  <w:style w:type="paragraph" w:styleId="Ttulo2">
    <w:name w:val="heading 2"/>
    <w:basedOn w:val="Normal"/>
    <w:next w:val="Normal"/>
    <w:link w:val="Ttulo2Car"/>
    <w:uiPriority w:val="9"/>
    <w:unhideWhenUsed/>
    <w:qFormat/>
    <w:rsid w:val="00255CDA"/>
    <w:pPr>
      <w:keepNext/>
      <w:keepLines/>
      <w:numPr>
        <w:ilvl w:val="1"/>
        <w:numId w:val="4"/>
      </w:numPr>
      <w:spacing w:before="40" w:after="0" w:line="240" w:lineRule="auto"/>
      <w:outlineLvl w:val="1"/>
    </w:pPr>
    <w:rPr>
      <w:rFonts w:asciiTheme="majorHAnsi" w:eastAsiaTheme="majorEastAsia" w:hAnsiTheme="majorHAnsi" w:cstheme="majorBidi"/>
      <w:b/>
      <w:color w:val="2E74B5" w:themeColor="accent1" w:themeShade="BF"/>
      <w:sz w:val="26"/>
      <w:szCs w:val="26"/>
      <w:lang w:val="es-ES_tradnl" w:eastAsia="es-ES_tradnl"/>
    </w:rPr>
  </w:style>
  <w:style w:type="paragraph" w:styleId="Ttulo3">
    <w:name w:val="heading 3"/>
    <w:basedOn w:val="Normal"/>
    <w:next w:val="Normal"/>
    <w:link w:val="Ttulo3Car"/>
    <w:uiPriority w:val="9"/>
    <w:unhideWhenUsed/>
    <w:qFormat/>
    <w:rsid w:val="00255CDA"/>
    <w:pPr>
      <w:keepNext/>
      <w:keepLines/>
      <w:numPr>
        <w:ilvl w:val="2"/>
        <w:numId w:val="4"/>
      </w:numPr>
      <w:spacing w:before="40" w:after="0" w:line="240" w:lineRule="auto"/>
      <w:outlineLvl w:val="2"/>
    </w:pPr>
    <w:rPr>
      <w:rFonts w:asciiTheme="majorHAnsi" w:eastAsiaTheme="majorEastAsia" w:hAnsiTheme="majorHAnsi" w:cstheme="majorBidi"/>
      <w:b/>
      <w:color w:val="1F4D78" w:themeColor="accent1" w:themeShade="7F"/>
      <w:sz w:val="24"/>
      <w:szCs w:val="24"/>
      <w:lang w:val="es-ES_tradnl" w:eastAsia="es-ES_tradnl"/>
    </w:rPr>
  </w:style>
  <w:style w:type="paragraph" w:styleId="Ttulo4">
    <w:name w:val="heading 4"/>
    <w:basedOn w:val="Normal"/>
    <w:next w:val="Normal"/>
    <w:link w:val="Ttulo4Car"/>
    <w:uiPriority w:val="9"/>
    <w:semiHidden/>
    <w:unhideWhenUsed/>
    <w:qFormat/>
    <w:rsid w:val="00255CDA"/>
    <w:pPr>
      <w:keepNext/>
      <w:keepLines/>
      <w:numPr>
        <w:ilvl w:val="3"/>
        <w:numId w:val="4"/>
      </w:numPr>
      <w:spacing w:before="40" w:after="0" w:line="240" w:lineRule="auto"/>
      <w:outlineLvl w:val="3"/>
    </w:pPr>
    <w:rPr>
      <w:rFonts w:asciiTheme="majorHAnsi" w:eastAsiaTheme="majorEastAsia" w:hAnsiTheme="majorHAnsi" w:cstheme="majorBidi"/>
      <w:b/>
      <w:i/>
      <w:iCs/>
      <w:color w:val="2E74B5" w:themeColor="accent1" w:themeShade="BF"/>
      <w:sz w:val="24"/>
      <w:szCs w:val="24"/>
      <w:lang w:val="es-ES_tradnl" w:eastAsia="es-ES_tradnl"/>
    </w:rPr>
  </w:style>
  <w:style w:type="paragraph" w:styleId="Ttulo5">
    <w:name w:val="heading 5"/>
    <w:basedOn w:val="Normal"/>
    <w:next w:val="Normal"/>
    <w:link w:val="Ttulo5Car"/>
    <w:uiPriority w:val="9"/>
    <w:semiHidden/>
    <w:unhideWhenUsed/>
    <w:qFormat/>
    <w:rsid w:val="00255CDA"/>
    <w:pPr>
      <w:keepNext/>
      <w:keepLines/>
      <w:numPr>
        <w:ilvl w:val="4"/>
        <w:numId w:val="4"/>
      </w:numPr>
      <w:spacing w:before="40" w:after="0" w:line="240" w:lineRule="auto"/>
      <w:outlineLvl w:val="4"/>
    </w:pPr>
    <w:rPr>
      <w:rFonts w:asciiTheme="majorHAnsi" w:eastAsiaTheme="majorEastAsia" w:hAnsiTheme="majorHAnsi" w:cstheme="majorBidi"/>
      <w:b/>
      <w:color w:val="2E74B5" w:themeColor="accent1" w:themeShade="BF"/>
      <w:sz w:val="24"/>
      <w:szCs w:val="24"/>
      <w:lang w:val="es-ES_tradnl" w:eastAsia="es-ES_tradnl"/>
    </w:rPr>
  </w:style>
  <w:style w:type="paragraph" w:styleId="Ttulo6">
    <w:name w:val="heading 6"/>
    <w:basedOn w:val="Normal"/>
    <w:next w:val="Normal"/>
    <w:link w:val="Ttulo6Car"/>
    <w:uiPriority w:val="9"/>
    <w:semiHidden/>
    <w:unhideWhenUsed/>
    <w:qFormat/>
    <w:rsid w:val="00255CDA"/>
    <w:pPr>
      <w:keepNext/>
      <w:keepLines/>
      <w:numPr>
        <w:ilvl w:val="5"/>
        <w:numId w:val="4"/>
      </w:numPr>
      <w:spacing w:before="40" w:after="0" w:line="240" w:lineRule="auto"/>
      <w:outlineLvl w:val="5"/>
    </w:pPr>
    <w:rPr>
      <w:rFonts w:asciiTheme="majorHAnsi" w:eastAsiaTheme="majorEastAsia" w:hAnsiTheme="majorHAnsi" w:cstheme="majorBidi"/>
      <w:b/>
      <w:color w:val="1F4D78" w:themeColor="accent1" w:themeShade="7F"/>
      <w:sz w:val="24"/>
      <w:szCs w:val="24"/>
      <w:lang w:val="es-ES_tradnl" w:eastAsia="es-ES_tradnl"/>
    </w:rPr>
  </w:style>
  <w:style w:type="paragraph" w:styleId="Ttulo7">
    <w:name w:val="heading 7"/>
    <w:basedOn w:val="Normal"/>
    <w:next w:val="Normal"/>
    <w:link w:val="Ttulo7Car"/>
    <w:uiPriority w:val="9"/>
    <w:semiHidden/>
    <w:unhideWhenUsed/>
    <w:qFormat/>
    <w:rsid w:val="00255CDA"/>
    <w:pPr>
      <w:keepNext/>
      <w:keepLines/>
      <w:numPr>
        <w:ilvl w:val="6"/>
        <w:numId w:val="4"/>
      </w:numPr>
      <w:spacing w:before="40" w:after="0" w:line="240" w:lineRule="auto"/>
      <w:outlineLvl w:val="6"/>
    </w:pPr>
    <w:rPr>
      <w:rFonts w:asciiTheme="majorHAnsi" w:eastAsiaTheme="majorEastAsia" w:hAnsiTheme="majorHAnsi" w:cstheme="majorBidi"/>
      <w:b/>
      <w:i/>
      <w:iCs/>
      <w:color w:val="1F4D78" w:themeColor="accent1" w:themeShade="7F"/>
      <w:sz w:val="24"/>
      <w:szCs w:val="24"/>
      <w:lang w:val="es-ES_tradnl" w:eastAsia="es-ES_tradnl"/>
    </w:rPr>
  </w:style>
  <w:style w:type="paragraph" w:styleId="Ttulo8">
    <w:name w:val="heading 8"/>
    <w:basedOn w:val="Normal"/>
    <w:next w:val="Normal"/>
    <w:link w:val="Ttulo8Car"/>
    <w:uiPriority w:val="9"/>
    <w:semiHidden/>
    <w:unhideWhenUsed/>
    <w:qFormat/>
    <w:rsid w:val="00255CDA"/>
    <w:pPr>
      <w:keepNext/>
      <w:keepLines/>
      <w:numPr>
        <w:ilvl w:val="7"/>
        <w:numId w:val="4"/>
      </w:numPr>
      <w:spacing w:before="40" w:after="0" w:line="240" w:lineRule="auto"/>
      <w:outlineLvl w:val="7"/>
    </w:pPr>
    <w:rPr>
      <w:rFonts w:asciiTheme="majorHAnsi" w:eastAsiaTheme="majorEastAsia" w:hAnsiTheme="majorHAnsi" w:cstheme="majorBidi"/>
      <w:b/>
      <w:color w:val="272727" w:themeColor="text1" w:themeTint="D8"/>
      <w:sz w:val="21"/>
      <w:szCs w:val="21"/>
      <w:lang w:val="es-ES_tradnl" w:eastAsia="es-ES_tradnl"/>
    </w:rPr>
  </w:style>
  <w:style w:type="paragraph" w:styleId="Ttulo9">
    <w:name w:val="heading 9"/>
    <w:basedOn w:val="Normal"/>
    <w:next w:val="Normal"/>
    <w:link w:val="Ttulo9Car"/>
    <w:uiPriority w:val="9"/>
    <w:semiHidden/>
    <w:unhideWhenUsed/>
    <w:qFormat/>
    <w:rsid w:val="00255CDA"/>
    <w:pPr>
      <w:keepNext/>
      <w:keepLines/>
      <w:numPr>
        <w:ilvl w:val="8"/>
        <w:numId w:val="4"/>
      </w:numPr>
      <w:spacing w:before="40" w:after="0" w:line="240" w:lineRule="auto"/>
      <w:outlineLvl w:val="8"/>
    </w:pPr>
    <w:rPr>
      <w:rFonts w:asciiTheme="majorHAnsi" w:eastAsiaTheme="majorEastAsia" w:hAnsiTheme="majorHAnsi" w:cstheme="majorBidi"/>
      <w:b/>
      <w:i/>
      <w:iCs/>
      <w:color w:val="272727" w:themeColor="text1" w:themeTint="D8"/>
      <w:sz w:val="21"/>
      <w:szCs w:val="21"/>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824D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824D1"/>
  </w:style>
  <w:style w:type="paragraph" w:styleId="Piedepgina">
    <w:name w:val="footer"/>
    <w:basedOn w:val="Normal"/>
    <w:link w:val="PiedepginaCar"/>
    <w:uiPriority w:val="99"/>
    <w:unhideWhenUsed/>
    <w:rsid w:val="00D824D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824D1"/>
  </w:style>
  <w:style w:type="character" w:styleId="Nmerodepgina">
    <w:name w:val="page number"/>
    <w:basedOn w:val="Fuentedeprrafopredeter"/>
    <w:uiPriority w:val="99"/>
    <w:semiHidden/>
    <w:unhideWhenUsed/>
    <w:rsid w:val="00D824D1"/>
  </w:style>
  <w:style w:type="paragraph" w:styleId="Prrafodelista">
    <w:name w:val="List Paragraph"/>
    <w:basedOn w:val="Normal"/>
    <w:uiPriority w:val="34"/>
    <w:qFormat/>
    <w:rsid w:val="0075724C"/>
    <w:pPr>
      <w:ind w:left="720"/>
      <w:contextualSpacing/>
    </w:pPr>
  </w:style>
  <w:style w:type="character" w:customStyle="1" w:styleId="Ttulo1Car">
    <w:name w:val="Título 1 Car"/>
    <w:aliases w:val="ARTÍCULOS Car"/>
    <w:basedOn w:val="Fuentedeprrafopredeter"/>
    <w:link w:val="Ttulo1"/>
    <w:uiPriority w:val="9"/>
    <w:rsid w:val="00255CDA"/>
    <w:rPr>
      <w:rFonts w:ascii="Arial" w:eastAsia="Times New Roman" w:hAnsi="Arial" w:cs="Times New Roman"/>
      <w:bCs/>
      <w:color w:val="2F5496"/>
      <w:kern w:val="32"/>
      <w:sz w:val="20"/>
      <w:szCs w:val="32"/>
      <w:u w:val="single"/>
      <w:lang w:val="es-ES_tradnl" w:eastAsia="es-ES_tradnl"/>
    </w:rPr>
  </w:style>
  <w:style w:type="character" w:customStyle="1" w:styleId="Ttulo2Car">
    <w:name w:val="Título 2 Car"/>
    <w:basedOn w:val="Fuentedeprrafopredeter"/>
    <w:link w:val="Ttulo2"/>
    <w:uiPriority w:val="9"/>
    <w:rsid w:val="00255CDA"/>
    <w:rPr>
      <w:rFonts w:asciiTheme="majorHAnsi" w:eastAsiaTheme="majorEastAsia" w:hAnsiTheme="majorHAnsi" w:cstheme="majorBidi"/>
      <w:b/>
      <w:color w:val="2E74B5" w:themeColor="accent1" w:themeShade="BF"/>
      <w:sz w:val="26"/>
      <w:szCs w:val="26"/>
      <w:lang w:val="es-ES_tradnl" w:eastAsia="es-ES_tradnl"/>
    </w:rPr>
  </w:style>
  <w:style w:type="character" w:customStyle="1" w:styleId="Ttulo3Car">
    <w:name w:val="Título 3 Car"/>
    <w:basedOn w:val="Fuentedeprrafopredeter"/>
    <w:link w:val="Ttulo3"/>
    <w:uiPriority w:val="9"/>
    <w:semiHidden/>
    <w:rsid w:val="00255CDA"/>
    <w:rPr>
      <w:rFonts w:asciiTheme="majorHAnsi" w:eastAsiaTheme="majorEastAsia" w:hAnsiTheme="majorHAnsi" w:cstheme="majorBidi"/>
      <w:b/>
      <w:color w:val="1F4D78" w:themeColor="accent1" w:themeShade="7F"/>
      <w:sz w:val="24"/>
      <w:szCs w:val="24"/>
      <w:lang w:val="es-ES_tradnl" w:eastAsia="es-ES_tradnl"/>
    </w:rPr>
  </w:style>
  <w:style w:type="character" w:customStyle="1" w:styleId="Ttulo4Car">
    <w:name w:val="Título 4 Car"/>
    <w:basedOn w:val="Fuentedeprrafopredeter"/>
    <w:link w:val="Ttulo4"/>
    <w:uiPriority w:val="9"/>
    <w:semiHidden/>
    <w:rsid w:val="00255CDA"/>
    <w:rPr>
      <w:rFonts w:asciiTheme="majorHAnsi" w:eastAsiaTheme="majorEastAsia" w:hAnsiTheme="majorHAnsi" w:cstheme="majorBidi"/>
      <w:b/>
      <w:i/>
      <w:iCs/>
      <w:color w:val="2E74B5" w:themeColor="accent1" w:themeShade="BF"/>
      <w:sz w:val="24"/>
      <w:szCs w:val="24"/>
      <w:lang w:val="es-ES_tradnl" w:eastAsia="es-ES_tradnl"/>
    </w:rPr>
  </w:style>
  <w:style w:type="character" w:customStyle="1" w:styleId="Ttulo5Car">
    <w:name w:val="Título 5 Car"/>
    <w:basedOn w:val="Fuentedeprrafopredeter"/>
    <w:link w:val="Ttulo5"/>
    <w:uiPriority w:val="9"/>
    <w:semiHidden/>
    <w:rsid w:val="00255CDA"/>
    <w:rPr>
      <w:rFonts w:asciiTheme="majorHAnsi" w:eastAsiaTheme="majorEastAsia" w:hAnsiTheme="majorHAnsi" w:cstheme="majorBidi"/>
      <w:b/>
      <w:color w:val="2E74B5" w:themeColor="accent1" w:themeShade="BF"/>
      <w:sz w:val="24"/>
      <w:szCs w:val="24"/>
      <w:lang w:val="es-ES_tradnl" w:eastAsia="es-ES_tradnl"/>
    </w:rPr>
  </w:style>
  <w:style w:type="character" w:customStyle="1" w:styleId="Ttulo6Car">
    <w:name w:val="Título 6 Car"/>
    <w:basedOn w:val="Fuentedeprrafopredeter"/>
    <w:link w:val="Ttulo6"/>
    <w:uiPriority w:val="9"/>
    <w:semiHidden/>
    <w:rsid w:val="00255CDA"/>
    <w:rPr>
      <w:rFonts w:asciiTheme="majorHAnsi" w:eastAsiaTheme="majorEastAsia" w:hAnsiTheme="majorHAnsi" w:cstheme="majorBidi"/>
      <w:b/>
      <w:color w:val="1F4D78" w:themeColor="accent1" w:themeShade="7F"/>
      <w:sz w:val="24"/>
      <w:szCs w:val="24"/>
      <w:lang w:val="es-ES_tradnl" w:eastAsia="es-ES_tradnl"/>
    </w:rPr>
  </w:style>
  <w:style w:type="character" w:customStyle="1" w:styleId="Ttulo7Car">
    <w:name w:val="Título 7 Car"/>
    <w:basedOn w:val="Fuentedeprrafopredeter"/>
    <w:link w:val="Ttulo7"/>
    <w:uiPriority w:val="9"/>
    <w:semiHidden/>
    <w:rsid w:val="00255CDA"/>
    <w:rPr>
      <w:rFonts w:asciiTheme="majorHAnsi" w:eastAsiaTheme="majorEastAsia" w:hAnsiTheme="majorHAnsi" w:cstheme="majorBidi"/>
      <w:b/>
      <w:i/>
      <w:iCs/>
      <w:color w:val="1F4D78" w:themeColor="accent1" w:themeShade="7F"/>
      <w:sz w:val="24"/>
      <w:szCs w:val="24"/>
      <w:lang w:val="es-ES_tradnl" w:eastAsia="es-ES_tradnl"/>
    </w:rPr>
  </w:style>
  <w:style w:type="character" w:customStyle="1" w:styleId="Ttulo8Car">
    <w:name w:val="Título 8 Car"/>
    <w:basedOn w:val="Fuentedeprrafopredeter"/>
    <w:link w:val="Ttulo8"/>
    <w:uiPriority w:val="9"/>
    <w:semiHidden/>
    <w:rsid w:val="00255CDA"/>
    <w:rPr>
      <w:rFonts w:asciiTheme="majorHAnsi" w:eastAsiaTheme="majorEastAsia" w:hAnsiTheme="majorHAnsi" w:cstheme="majorBidi"/>
      <w:b/>
      <w:color w:val="272727" w:themeColor="text1" w:themeTint="D8"/>
      <w:sz w:val="21"/>
      <w:szCs w:val="21"/>
      <w:lang w:val="es-ES_tradnl" w:eastAsia="es-ES_tradnl"/>
    </w:rPr>
  </w:style>
  <w:style w:type="character" w:customStyle="1" w:styleId="Ttulo9Car">
    <w:name w:val="Título 9 Car"/>
    <w:basedOn w:val="Fuentedeprrafopredeter"/>
    <w:link w:val="Ttulo9"/>
    <w:uiPriority w:val="9"/>
    <w:semiHidden/>
    <w:rsid w:val="00255CDA"/>
    <w:rPr>
      <w:rFonts w:asciiTheme="majorHAnsi" w:eastAsiaTheme="majorEastAsia" w:hAnsiTheme="majorHAnsi" w:cstheme="majorBidi"/>
      <w:b/>
      <w:i/>
      <w:iCs/>
      <w:color w:val="272727" w:themeColor="text1" w:themeTint="D8"/>
      <w:sz w:val="21"/>
      <w:szCs w:val="21"/>
      <w:lang w:val="es-ES_tradnl" w:eastAsia="es-ES_tradnl"/>
    </w:rPr>
  </w:style>
  <w:style w:type="character" w:styleId="Textoennegrita">
    <w:name w:val="Strong"/>
    <w:uiPriority w:val="22"/>
    <w:qFormat/>
    <w:rsid w:val="00255CDA"/>
    <w:rPr>
      <w:b/>
      <w:bCs/>
    </w:rPr>
  </w:style>
  <w:style w:type="paragraph" w:customStyle="1" w:styleId="Textodeprrafo">
    <w:name w:val="Texto de párrafo"/>
    <w:basedOn w:val="Normal"/>
    <w:qFormat/>
    <w:rsid w:val="00255CDA"/>
    <w:pPr>
      <w:widowControl w:val="0"/>
      <w:suppressAutoHyphens/>
      <w:autoSpaceDN w:val="0"/>
      <w:spacing w:before="240" w:after="0" w:line="240" w:lineRule="auto"/>
      <w:jc w:val="both"/>
    </w:pPr>
    <w:rPr>
      <w:rFonts w:ascii="Arial" w:eastAsia="SimSun" w:hAnsi="Arial" w:cs="Arial"/>
      <w:kern w:val="3"/>
      <w:sz w:val="20"/>
      <w:szCs w:val="24"/>
      <w:lang w:eastAsia="zh-CN" w:bidi="hi-IN"/>
    </w:rPr>
  </w:style>
  <w:style w:type="paragraph" w:styleId="Subttulo">
    <w:name w:val="Subtitle"/>
    <w:aliases w:val="GRÁFICO/TABLA"/>
    <w:basedOn w:val="Normal"/>
    <w:next w:val="Normal"/>
    <w:link w:val="SubttuloCar"/>
    <w:uiPriority w:val="11"/>
    <w:qFormat/>
    <w:rsid w:val="00255CDA"/>
    <w:pPr>
      <w:spacing w:before="840" w:after="100" w:afterAutospacing="1" w:line="360" w:lineRule="auto"/>
      <w:jc w:val="center"/>
      <w:outlineLvl w:val="1"/>
    </w:pPr>
    <w:rPr>
      <w:rFonts w:ascii="Arial" w:eastAsia="Times New Roman" w:hAnsi="Arial" w:cs="Times New Roman"/>
      <w:b/>
      <w:sz w:val="16"/>
      <w:szCs w:val="24"/>
      <w:lang w:val="es-ES_tradnl" w:eastAsia="es-ES_tradnl"/>
    </w:rPr>
  </w:style>
  <w:style w:type="character" w:customStyle="1" w:styleId="SubttuloCar">
    <w:name w:val="Subtítulo Car"/>
    <w:aliases w:val="GRÁFICO/TABLA Car"/>
    <w:basedOn w:val="Fuentedeprrafopredeter"/>
    <w:link w:val="Subttulo"/>
    <w:uiPriority w:val="11"/>
    <w:rsid w:val="00255CDA"/>
    <w:rPr>
      <w:rFonts w:ascii="Arial" w:eastAsia="Times New Roman" w:hAnsi="Arial" w:cs="Times New Roman"/>
      <w:b/>
      <w:sz w:val="16"/>
      <w:szCs w:val="24"/>
      <w:lang w:val="es-ES_tradnl" w:eastAsia="es-ES_tradnl"/>
    </w:rPr>
  </w:style>
  <w:style w:type="character" w:styleId="Hipervnculo">
    <w:name w:val="Hyperlink"/>
    <w:uiPriority w:val="99"/>
    <w:unhideWhenUsed/>
    <w:rsid w:val="007E499C"/>
    <w:rPr>
      <w:color w:val="0563C1"/>
      <w:u w:val="single"/>
    </w:rPr>
  </w:style>
  <w:style w:type="paragraph" w:styleId="TtuloTDC">
    <w:name w:val="TOC Heading"/>
    <w:basedOn w:val="Ttulo1"/>
    <w:next w:val="Normal"/>
    <w:uiPriority w:val="39"/>
    <w:unhideWhenUsed/>
    <w:qFormat/>
    <w:rsid w:val="00E3787D"/>
    <w:pPr>
      <w:keepLines/>
      <w:numPr>
        <w:numId w:val="0"/>
      </w:numPr>
      <w:spacing w:before="480" w:after="0" w:line="276" w:lineRule="auto"/>
      <w:outlineLvl w:val="9"/>
    </w:pPr>
    <w:rPr>
      <w:rFonts w:asciiTheme="majorHAnsi" w:eastAsiaTheme="majorEastAsia" w:hAnsiTheme="majorHAnsi" w:cstheme="majorBidi"/>
      <w:b/>
      <w:color w:val="2E74B5" w:themeColor="accent1" w:themeShade="BF"/>
      <w:kern w:val="0"/>
      <w:sz w:val="28"/>
      <w:szCs w:val="28"/>
      <w:u w:val="none"/>
      <w:lang w:val="es-ES"/>
    </w:rPr>
  </w:style>
  <w:style w:type="paragraph" w:styleId="TDC2">
    <w:name w:val="toc 2"/>
    <w:basedOn w:val="Normal"/>
    <w:next w:val="Normal"/>
    <w:autoRedefine/>
    <w:uiPriority w:val="39"/>
    <w:unhideWhenUsed/>
    <w:rsid w:val="00E3787D"/>
    <w:pPr>
      <w:spacing w:before="120" w:after="0"/>
      <w:ind w:left="220"/>
    </w:pPr>
    <w:rPr>
      <w:rFonts w:cstheme="minorHAnsi"/>
      <w:b/>
      <w:bCs/>
      <w:szCs w:val="26"/>
    </w:rPr>
  </w:style>
  <w:style w:type="paragraph" w:styleId="TDC1">
    <w:name w:val="toc 1"/>
    <w:basedOn w:val="Normal"/>
    <w:next w:val="Normal"/>
    <w:autoRedefine/>
    <w:uiPriority w:val="39"/>
    <w:unhideWhenUsed/>
    <w:rsid w:val="00E3787D"/>
    <w:pPr>
      <w:spacing w:before="120" w:after="0"/>
    </w:pPr>
    <w:rPr>
      <w:rFonts w:cstheme="minorHAnsi"/>
      <w:b/>
      <w:bCs/>
      <w:i/>
      <w:iCs/>
      <w:sz w:val="24"/>
      <w:szCs w:val="28"/>
    </w:rPr>
  </w:style>
  <w:style w:type="paragraph" w:styleId="TDC3">
    <w:name w:val="toc 3"/>
    <w:basedOn w:val="Normal"/>
    <w:next w:val="Normal"/>
    <w:autoRedefine/>
    <w:uiPriority w:val="39"/>
    <w:unhideWhenUsed/>
    <w:rsid w:val="00E3787D"/>
    <w:pPr>
      <w:spacing w:after="0"/>
      <w:ind w:left="440"/>
    </w:pPr>
    <w:rPr>
      <w:rFonts w:cstheme="minorHAnsi"/>
      <w:sz w:val="20"/>
      <w:szCs w:val="24"/>
    </w:rPr>
  </w:style>
  <w:style w:type="paragraph" w:styleId="TDC4">
    <w:name w:val="toc 4"/>
    <w:basedOn w:val="Normal"/>
    <w:next w:val="Normal"/>
    <w:autoRedefine/>
    <w:uiPriority w:val="39"/>
    <w:semiHidden/>
    <w:unhideWhenUsed/>
    <w:rsid w:val="00E3787D"/>
    <w:pPr>
      <w:spacing w:after="0"/>
      <w:ind w:left="660"/>
    </w:pPr>
    <w:rPr>
      <w:rFonts w:cstheme="minorHAnsi"/>
      <w:sz w:val="20"/>
      <w:szCs w:val="24"/>
    </w:rPr>
  </w:style>
  <w:style w:type="paragraph" w:styleId="TDC5">
    <w:name w:val="toc 5"/>
    <w:basedOn w:val="Normal"/>
    <w:next w:val="Normal"/>
    <w:autoRedefine/>
    <w:uiPriority w:val="39"/>
    <w:semiHidden/>
    <w:unhideWhenUsed/>
    <w:rsid w:val="00E3787D"/>
    <w:pPr>
      <w:spacing w:after="0"/>
      <w:ind w:left="880"/>
    </w:pPr>
    <w:rPr>
      <w:rFonts w:cstheme="minorHAnsi"/>
      <w:sz w:val="20"/>
      <w:szCs w:val="24"/>
    </w:rPr>
  </w:style>
  <w:style w:type="paragraph" w:styleId="TDC6">
    <w:name w:val="toc 6"/>
    <w:basedOn w:val="Normal"/>
    <w:next w:val="Normal"/>
    <w:autoRedefine/>
    <w:uiPriority w:val="39"/>
    <w:semiHidden/>
    <w:unhideWhenUsed/>
    <w:rsid w:val="00E3787D"/>
    <w:pPr>
      <w:spacing w:after="0"/>
      <w:ind w:left="1100"/>
    </w:pPr>
    <w:rPr>
      <w:rFonts w:cstheme="minorHAnsi"/>
      <w:sz w:val="20"/>
      <w:szCs w:val="24"/>
    </w:rPr>
  </w:style>
  <w:style w:type="paragraph" w:styleId="TDC7">
    <w:name w:val="toc 7"/>
    <w:basedOn w:val="Normal"/>
    <w:next w:val="Normal"/>
    <w:autoRedefine/>
    <w:uiPriority w:val="39"/>
    <w:semiHidden/>
    <w:unhideWhenUsed/>
    <w:rsid w:val="00E3787D"/>
    <w:pPr>
      <w:spacing w:after="0"/>
      <w:ind w:left="1320"/>
    </w:pPr>
    <w:rPr>
      <w:rFonts w:cstheme="minorHAnsi"/>
      <w:sz w:val="20"/>
      <w:szCs w:val="24"/>
    </w:rPr>
  </w:style>
  <w:style w:type="paragraph" w:styleId="TDC8">
    <w:name w:val="toc 8"/>
    <w:basedOn w:val="Normal"/>
    <w:next w:val="Normal"/>
    <w:autoRedefine/>
    <w:uiPriority w:val="39"/>
    <w:semiHidden/>
    <w:unhideWhenUsed/>
    <w:rsid w:val="00E3787D"/>
    <w:pPr>
      <w:spacing w:after="0"/>
      <w:ind w:left="1540"/>
    </w:pPr>
    <w:rPr>
      <w:rFonts w:cstheme="minorHAnsi"/>
      <w:sz w:val="20"/>
      <w:szCs w:val="24"/>
    </w:rPr>
  </w:style>
  <w:style w:type="paragraph" w:styleId="TDC9">
    <w:name w:val="toc 9"/>
    <w:basedOn w:val="Normal"/>
    <w:next w:val="Normal"/>
    <w:autoRedefine/>
    <w:uiPriority w:val="39"/>
    <w:semiHidden/>
    <w:unhideWhenUsed/>
    <w:rsid w:val="00E3787D"/>
    <w:pPr>
      <w:spacing w:after="0"/>
      <w:ind w:left="1760"/>
    </w:pPr>
    <w:rPr>
      <w:rFonts w:cstheme="minorHAnsi"/>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5252281">
      <w:bodyDiv w:val="1"/>
      <w:marLeft w:val="0"/>
      <w:marRight w:val="0"/>
      <w:marTop w:val="0"/>
      <w:marBottom w:val="0"/>
      <w:divBdr>
        <w:top w:val="none" w:sz="0" w:space="0" w:color="auto"/>
        <w:left w:val="none" w:sz="0" w:space="0" w:color="auto"/>
        <w:bottom w:val="none" w:sz="0" w:space="0" w:color="auto"/>
        <w:right w:val="none" w:sz="0" w:space="0" w:color="auto"/>
      </w:divBdr>
    </w:div>
    <w:div w:id="2136673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4.xm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www.comunidad.madrid/transparencia/institucion-y-su-funcionamiento"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hart" Target="charts/chart3.xml"/><Relationship Id="rId33" Type="http://schemas.openxmlformats.org/officeDocument/2006/relationships/hyperlink" Target="https://www.comunidad.madrid/transparencia/persona/isabel-diaz-ayuso-0" TargetMode="External"/><Relationship Id="rId38" Type="http://schemas.openxmlformats.org/officeDocument/2006/relationships/hyperlink" Target="https://www.comunidad.madrid/transparencia/organizacion-recursos/personal-eventual"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ww.comunidad.madrid/transparencia/organizacion-recursos/organizacion"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2.xml"/><Relationship Id="rId32" Type="http://schemas.openxmlformats.org/officeDocument/2006/relationships/hyperlink" Target="https://www.comunidad.madrid/transparencia/organizacion-recursos/altos-cargos" TargetMode="External"/><Relationship Id="rId37" Type="http://schemas.openxmlformats.org/officeDocument/2006/relationships/hyperlink" Target="https://www.comunidad.madrid/transparencia/normativa-planificacion/normativa-en-tramitacion" TargetMode="External"/><Relationship Id="rId40"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hyperlink" Target="https://www.comunidad.madrid/transparencia/retribuciones-del-personal-al-servicio-administracion-comunidad-madrid" TargetMode="Externa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hyperlink" Target="https://www.comunidad.madrid/transparencia/organizacion-recursos/altos-cargos"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chart" Target="charts/chart5.xml"/><Relationship Id="rId30" Type="http://schemas.openxmlformats.org/officeDocument/2006/relationships/hyperlink" Target="https://www.comunidad.madrid/transparencia/organizacion-recursos/organizacion" TargetMode="External"/><Relationship Id="rId35" Type="http://schemas.openxmlformats.org/officeDocument/2006/relationships/hyperlink" Target="https://www.comunidad.madrid/transparencia/subvenciones-y-ayudas-publicas" TargetMode="Externa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jus\jus\GRVIA018\GRP\CALIDAD\SG_GOB%20ABIERTO\0%20TRANSPARENCIA\Informe%20anual\cumplimiento%20a&#241;o%202022\Estadisticas_Portal_Matomo\DatosPortal_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jus\jus\GRVIA018\GRP\CALIDAD\SG_GOB%20ABIERTO\0%20TRANSPARENCIA\Informe%20anual\cumplimiento%20a&#241;o%202022\Estadisticas_Portal_Matomo\DatosPortal_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jus\jus\GRVIA018\GRP\CALIDAD\SG_GOB%20ABIERTO\0%20TRANSPARENCIA\Informe%20anual\cumplimiento%20a&#241;o%202022\Estadisticas_Portal_Matomo\DatosPortal_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jus\jus\GRVIA018\GRP\CALIDAD\SG_GOB%20ABIERTO\0%20TRANSPARENCIA\Informe%20anual\cumplimiento%20a&#241;o%202022\Estadisticas_Portal_Matomo\DatosPortal_20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jus\jus\GRVIA018\GRP\CALIDAD\SG_GOB%20ABIERTO\0%20TRANSPARENCIA\Informe%20anual\cumplimiento%20a&#241;o%202022\Estadisticas_Portal_Matomo\DatosPortal_202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jus\jus\GRVIA018\GRP\CALIDAD\SG_GOB%20ABIERTO\0%20TRANSPARENCIA\Informe%20anual\cumplimiento%20a&#241;o%202022\Estadisticas_Portal_Matomo\DatosPortal_2022.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258772924027489"/>
          <c:y val="2.4924681308269421E-2"/>
          <c:w val="0.42648307989255185"/>
          <c:h val="0.95015063738346117"/>
        </c:manualLayout>
      </c:layout>
      <c:barChart>
        <c:barDir val="bar"/>
        <c:grouping val="clustered"/>
        <c:varyColors val="0"/>
        <c:ser>
          <c:idx val="2"/>
          <c:order val="0"/>
          <c:tx>
            <c:strRef>
              <c:f>Info_Meses!$O$1</c:f>
              <c:strCache>
                <c:ptCount val="1"/>
                <c:pt idx="0">
                  <c:v>Descargas</c:v>
                </c:pt>
              </c:strCache>
            </c:strRef>
          </c:tx>
          <c:spPr>
            <a:solidFill>
              <a:schemeClr val="tx1">
                <a:lumMod val="50000"/>
                <a:lumOff val="50000"/>
              </a:schemeClr>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Arial" panose="020B0604020202020204" pitchFamily="34"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Info_Meses!$L$2:$L$13</c:f>
              <c:strCache>
                <c:ptCount val="12"/>
                <c:pt idx="0">
                  <c:v>Diciembre</c:v>
                </c:pt>
                <c:pt idx="1">
                  <c:v>Noviembre </c:v>
                </c:pt>
                <c:pt idx="2">
                  <c:v>Octubre</c:v>
                </c:pt>
                <c:pt idx="3">
                  <c:v>Septiembre</c:v>
                </c:pt>
                <c:pt idx="4">
                  <c:v>Agosto</c:v>
                </c:pt>
                <c:pt idx="5">
                  <c:v>Julio</c:v>
                </c:pt>
                <c:pt idx="6">
                  <c:v>Junio</c:v>
                </c:pt>
                <c:pt idx="7">
                  <c:v>Mayo</c:v>
                </c:pt>
                <c:pt idx="8">
                  <c:v>Abril</c:v>
                </c:pt>
                <c:pt idx="9">
                  <c:v>Marzo </c:v>
                </c:pt>
                <c:pt idx="10">
                  <c:v>Febrero</c:v>
                </c:pt>
                <c:pt idx="11">
                  <c:v>Enero</c:v>
                </c:pt>
              </c:strCache>
            </c:strRef>
          </c:cat>
          <c:val>
            <c:numRef>
              <c:f>Info_Meses!$O$2:$O$13</c:f>
              <c:numCache>
                <c:formatCode>General</c:formatCode>
                <c:ptCount val="12"/>
                <c:pt idx="0">
                  <c:v>19722</c:v>
                </c:pt>
                <c:pt idx="1">
                  <c:v>24880</c:v>
                </c:pt>
                <c:pt idx="2">
                  <c:v>30284</c:v>
                </c:pt>
                <c:pt idx="3">
                  <c:v>27955</c:v>
                </c:pt>
                <c:pt idx="4">
                  <c:v>17498</c:v>
                </c:pt>
                <c:pt idx="5">
                  <c:v>24406</c:v>
                </c:pt>
                <c:pt idx="6">
                  <c:v>30525</c:v>
                </c:pt>
                <c:pt idx="7">
                  <c:v>30675</c:v>
                </c:pt>
                <c:pt idx="8">
                  <c:v>26825</c:v>
                </c:pt>
                <c:pt idx="9">
                  <c:v>35200</c:v>
                </c:pt>
                <c:pt idx="10">
                  <c:v>34734</c:v>
                </c:pt>
                <c:pt idx="11">
                  <c:v>27003</c:v>
                </c:pt>
              </c:numCache>
            </c:numRef>
          </c:val>
          <c:extLst>
            <c:ext xmlns:c16="http://schemas.microsoft.com/office/drawing/2014/chart" uri="{C3380CC4-5D6E-409C-BE32-E72D297353CC}">
              <c16:uniqueId val="{00000000-F462-4621-BD50-8295A80339A1}"/>
            </c:ext>
          </c:extLst>
        </c:ser>
        <c:ser>
          <c:idx val="1"/>
          <c:order val="1"/>
          <c:tx>
            <c:strRef>
              <c:f>Info_Meses!$N$1</c:f>
              <c:strCache>
                <c:ptCount val="1"/>
                <c:pt idx="0">
                  <c:v>Visitas</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Arial" panose="020B0604020202020204" pitchFamily="34"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Info_Meses!$L$2:$L$13</c:f>
              <c:strCache>
                <c:ptCount val="12"/>
                <c:pt idx="0">
                  <c:v>Diciembre</c:v>
                </c:pt>
                <c:pt idx="1">
                  <c:v>Noviembre </c:v>
                </c:pt>
                <c:pt idx="2">
                  <c:v>Octubre</c:v>
                </c:pt>
                <c:pt idx="3">
                  <c:v>Septiembre</c:v>
                </c:pt>
                <c:pt idx="4">
                  <c:v>Agosto</c:v>
                </c:pt>
                <c:pt idx="5">
                  <c:v>Julio</c:v>
                </c:pt>
                <c:pt idx="6">
                  <c:v>Junio</c:v>
                </c:pt>
                <c:pt idx="7">
                  <c:v>Mayo</c:v>
                </c:pt>
                <c:pt idx="8">
                  <c:v>Abril</c:v>
                </c:pt>
                <c:pt idx="9">
                  <c:v>Marzo </c:v>
                </c:pt>
                <c:pt idx="10">
                  <c:v>Febrero</c:v>
                </c:pt>
                <c:pt idx="11">
                  <c:v>Enero</c:v>
                </c:pt>
              </c:strCache>
            </c:strRef>
          </c:cat>
          <c:val>
            <c:numRef>
              <c:f>Info_Meses!$N$2:$N$13</c:f>
              <c:numCache>
                <c:formatCode>General</c:formatCode>
                <c:ptCount val="12"/>
                <c:pt idx="0">
                  <c:v>96672</c:v>
                </c:pt>
                <c:pt idx="1">
                  <c:v>125071</c:v>
                </c:pt>
                <c:pt idx="2">
                  <c:v>132322</c:v>
                </c:pt>
                <c:pt idx="3">
                  <c:v>134493</c:v>
                </c:pt>
                <c:pt idx="4">
                  <c:v>80458</c:v>
                </c:pt>
                <c:pt idx="5">
                  <c:v>106478</c:v>
                </c:pt>
                <c:pt idx="6">
                  <c:v>129773</c:v>
                </c:pt>
                <c:pt idx="7">
                  <c:v>130462</c:v>
                </c:pt>
                <c:pt idx="8">
                  <c:v>115856</c:v>
                </c:pt>
                <c:pt idx="9">
                  <c:v>153869</c:v>
                </c:pt>
                <c:pt idx="10">
                  <c:v>146816</c:v>
                </c:pt>
                <c:pt idx="11">
                  <c:v>119237</c:v>
                </c:pt>
              </c:numCache>
            </c:numRef>
          </c:val>
          <c:extLst>
            <c:ext xmlns:c16="http://schemas.microsoft.com/office/drawing/2014/chart" uri="{C3380CC4-5D6E-409C-BE32-E72D297353CC}">
              <c16:uniqueId val="{00000001-F462-4621-BD50-8295A80339A1}"/>
            </c:ext>
          </c:extLst>
        </c:ser>
        <c:ser>
          <c:idx val="0"/>
          <c:order val="2"/>
          <c:tx>
            <c:strRef>
              <c:f>Info_Meses!$M$1</c:f>
              <c:strCache>
                <c:ptCount val="1"/>
                <c:pt idx="0">
                  <c:v>Páginas vistas</c:v>
                </c:pt>
              </c:strCache>
            </c:strRef>
          </c:tx>
          <c:spPr>
            <a:solidFill>
              <a:schemeClr val="bg1">
                <a:lumMod val="75000"/>
              </a:schemeClr>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Arial" panose="020B0604020202020204" pitchFamily="34"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Info_Meses!$L$2:$L$13</c:f>
              <c:strCache>
                <c:ptCount val="12"/>
                <c:pt idx="0">
                  <c:v>Diciembre</c:v>
                </c:pt>
                <c:pt idx="1">
                  <c:v>Noviembre </c:v>
                </c:pt>
                <c:pt idx="2">
                  <c:v>Octubre</c:v>
                </c:pt>
                <c:pt idx="3">
                  <c:v>Septiembre</c:v>
                </c:pt>
                <c:pt idx="4">
                  <c:v>Agosto</c:v>
                </c:pt>
                <c:pt idx="5">
                  <c:v>Julio</c:v>
                </c:pt>
                <c:pt idx="6">
                  <c:v>Junio</c:v>
                </c:pt>
                <c:pt idx="7">
                  <c:v>Mayo</c:v>
                </c:pt>
                <c:pt idx="8">
                  <c:v>Abril</c:v>
                </c:pt>
                <c:pt idx="9">
                  <c:v>Marzo </c:v>
                </c:pt>
                <c:pt idx="10">
                  <c:v>Febrero</c:v>
                </c:pt>
                <c:pt idx="11">
                  <c:v>Enero</c:v>
                </c:pt>
              </c:strCache>
            </c:strRef>
          </c:cat>
          <c:val>
            <c:numRef>
              <c:f>Info_Meses!$M$2:$M$13</c:f>
              <c:numCache>
                <c:formatCode>General</c:formatCode>
                <c:ptCount val="12"/>
                <c:pt idx="0">
                  <c:v>211388</c:v>
                </c:pt>
                <c:pt idx="1">
                  <c:v>281282</c:v>
                </c:pt>
                <c:pt idx="2">
                  <c:v>293884</c:v>
                </c:pt>
                <c:pt idx="3">
                  <c:v>300680</c:v>
                </c:pt>
                <c:pt idx="4">
                  <c:v>188706</c:v>
                </c:pt>
                <c:pt idx="5">
                  <c:v>242605</c:v>
                </c:pt>
                <c:pt idx="6">
                  <c:v>284824</c:v>
                </c:pt>
                <c:pt idx="7">
                  <c:v>304299</c:v>
                </c:pt>
                <c:pt idx="8">
                  <c:v>281132</c:v>
                </c:pt>
                <c:pt idx="9">
                  <c:v>375407</c:v>
                </c:pt>
                <c:pt idx="10">
                  <c:v>368777</c:v>
                </c:pt>
                <c:pt idx="11">
                  <c:v>285474</c:v>
                </c:pt>
              </c:numCache>
            </c:numRef>
          </c:val>
          <c:extLst>
            <c:ext xmlns:c16="http://schemas.microsoft.com/office/drawing/2014/chart" uri="{C3380CC4-5D6E-409C-BE32-E72D297353CC}">
              <c16:uniqueId val="{00000002-F462-4621-BD50-8295A80339A1}"/>
            </c:ext>
          </c:extLst>
        </c:ser>
        <c:dLbls>
          <c:dLblPos val="outEnd"/>
          <c:showLegendKey val="0"/>
          <c:showVal val="1"/>
          <c:showCatName val="0"/>
          <c:showSerName val="0"/>
          <c:showPercent val="0"/>
          <c:showBubbleSize val="0"/>
        </c:dLbls>
        <c:gapWidth val="50"/>
        <c:axId val="318010512"/>
        <c:axId val="318016784"/>
      </c:barChart>
      <c:catAx>
        <c:axId val="318010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es-ES"/>
          </a:p>
        </c:txPr>
        <c:crossAx val="318016784"/>
        <c:crosses val="autoZero"/>
        <c:auto val="1"/>
        <c:lblAlgn val="ctr"/>
        <c:lblOffset val="100"/>
        <c:noMultiLvlLbl val="0"/>
      </c:catAx>
      <c:valAx>
        <c:axId val="318016784"/>
        <c:scaling>
          <c:orientation val="minMax"/>
        </c:scaling>
        <c:delete val="1"/>
        <c:axPos val="b"/>
        <c:numFmt formatCode="General" sourceLinked="1"/>
        <c:majorTickMark val="none"/>
        <c:minorTickMark val="none"/>
        <c:tickLblPos val="nextTo"/>
        <c:crossAx val="318010512"/>
        <c:crosses val="autoZero"/>
        <c:crossBetween val="between"/>
      </c:valAx>
      <c:spPr>
        <a:noFill/>
        <a:ln>
          <a:noFill/>
        </a:ln>
        <a:effectLst/>
      </c:spPr>
    </c:plotArea>
    <c:legend>
      <c:legendPos val="b"/>
      <c:layout>
        <c:manualLayout>
          <c:xMode val="edge"/>
          <c:yMode val="edge"/>
          <c:x val="0.73269772928099552"/>
          <c:y val="0.77872560463956964"/>
          <c:w val="0.25143523386938194"/>
          <c:h val="0.21130480718436345"/>
        </c:manualLayout>
      </c:layout>
      <c:overlay val="0"/>
      <c:spPr>
        <a:noFill/>
        <a:ln>
          <a:solidFill>
            <a:schemeClr val="tx1">
              <a:lumMod val="50000"/>
              <a:lumOff val="50000"/>
            </a:schemeClr>
          </a:solidFill>
        </a:ln>
        <a:effectLst>
          <a:softEdge rad="0"/>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es-E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sz="900">
          <a:latin typeface="Arial" panose="020B0604020202020204" pitchFamily="34" charset="0"/>
          <a:cs typeface="Arial" panose="020B0604020202020204" pitchFamily="34" charset="0"/>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Gráfico8y11_VisitasyDescargas!$L$11</c:f>
              <c:strCache>
                <c:ptCount val="1"/>
                <c:pt idx="0">
                  <c:v>Número de Visitas</c:v>
                </c:pt>
              </c:strCache>
            </c:strRef>
          </c:tx>
          <c:spPr>
            <a:solidFill>
              <a:schemeClr val="accent1"/>
            </a:solidFill>
            <a:ln>
              <a:noFill/>
            </a:ln>
            <a:effectLst/>
          </c:spPr>
          <c:invertIfNegative val="0"/>
          <c:dPt>
            <c:idx val="0"/>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0-68CA-584D-9E03-8532A5D5184D}"/>
              </c:ext>
            </c:extLst>
          </c:dPt>
          <c:dPt>
            <c:idx val="1"/>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1-68CA-584D-9E03-8532A5D5184D}"/>
              </c:ext>
            </c:extLst>
          </c:dPt>
          <c:dPt>
            <c:idx val="2"/>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2-68CA-584D-9E03-8532A5D5184D}"/>
              </c:ext>
            </c:extLst>
          </c:dPt>
          <c:dPt>
            <c:idx val="3"/>
            <c:invertIfNegative val="0"/>
            <c:bubble3D val="0"/>
            <c:spPr>
              <a:solidFill>
                <a:srgbClr val="00B0F0"/>
              </a:solidFill>
              <a:ln>
                <a:noFill/>
              </a:ln>
              <a:effectLst/>
            </c:spPr>
            <c:extLst>
              <c:ext xmlns:c16="http://schemas.microsoft.com/office/drawing/2014/chart" uri="{C3380CC4-5D6E-409C-BE32-E72D297353CC}">
                <c16:uniqueId val="{00000003-68CA-584D-9E03-8532A5D5184D}"/>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Arial" panose="020B060402020202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Gráfico8y11_VisitasyDescargas!$K$12:$K$15</c:f>
              <c:strCache>
                <c:ptCount val="4"/>
                <c:pt idx="0">
                  <c:v>2019</c:v>
                </c:pt>
                <c:pt idx="1">
                  <c:v>2020</c:v>
                </c:pt>
                <c:pt idx="2">
                  <c:v>2021</c:v>
                </c:pt>
                <c:pt idx="3">
                  <c:v>2022</c:v>
                </c:pt>
              </c:strCache>
            </c:strRef>
          </c:cat>
          <c:val>
            <c:numRef>
              <c:f>Gráfico8y11_VisitasyDescargas!$L$12:$L$15</c:f>
              <c:numCache>
                <c:formatCode>#,##0</c:formatCode>
                <c:ptCount val="4"/>
                <c:pt idx="0">
                  <c:v>1296367</c:v>
                </c:pt>
                <c:pt idx="1">
                  <c:v>1302658</c:v>
                </c:pt>
                <c:pt idx="2">
                  <c:v>1536640</c:v>
                </c:pt>
                <c:pt idx="3">
                  <c:v>1471507</c:v>
                </c:pt>
              </c:numCache>
            </c:numRef>
          </c:val>
          <c:extLst>
            <c:ext xmlns:c16="http://schemas.microsoft.com/office/drawing/2014/chart" uri="{C3380CC4-5D6E-409C-BE32-E72D297353CC}">
              <c16:uniqueId val="{00000000-9854-47BD-A3A1-E68ED036E6FE}"/>
            </c:ext>
          </c:extLst>
        </c:ser>
        <c:dLbls>
          <c:showLegendKey val="0"/>
          <c:showVal val="0"/>
          <c:showCatName val="0"/>
          <c:showSerName val="0"/>
          <c:showPercent val="0"/>
          <c:showBubbleSize val="0"/>
        </c:dLbls>
        <c:gapWidth val="219"/>
        <c:overlap val="-27"/>
        <c:axId val="318015216"/>
        <c:axId val="318009728"/>
      </c:barChart>
      <c:catAx>
        <c:axId val="318015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318009728"/>
        <c:crosses val="autoZero"/>
        <c:auto val="1"/>
        <c:lblAlgn val="ctr"/>
        <c:lblOffset val="100"/>
        <c:noMultiLvlLbl val="0"/>
      </c:catAx>
      <c:valAx>
        <c:axId val="318009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318015216"/>
        <c:crosses val="autoZero"/>
        <c:crossBetween val="between"/>
        <c:majorUnit val="100000"/>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sz="1000">
          <a:latin typeface="Arial" panose="020B0604020202020204" pitchFamily="34" charset="0"/>
          <a:cs typeface="Arial" panose="020B0604020202020204" pitchFamily="34" charset="0"/>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0379251374066"/>
          <c:y val="0.15740740740740741"/>
          <c:w val="0.8554103907743239"/>
          <c:h val="0.73281605424321972"/>
        </c:manualLayout>
      </c:layout>
      <c:barChart>
        <c:barDir val="col"/>
        <c:grouping val="clustered"/>
        <c:varyColors val="0"/>
        <c:ser>
          <c:idx val="0"/>
          <c:order val="0"/>
          <c:spPr>
            <a:solidFill>
              <a:schemeClr val="bg2">
                <a:lumMod val="50000"/>
              </a:schemeClr>
            </a:solidFill>
            <a:ln>
              <a:solidFill>
                <a:schemeClr val="tx1">
                  <a:lumMod val="50000"/>
                  <a:lumOff val="50000"/>
                </a:schemeClr>
              </a:solidFill>
            </a:ln>
            <a:effectLst/>
          </c:spPr>
          <c:invertIfNegative val="0"/>
          <c:dPt>
            <c:idx val="0"/>
            <c:invertIfNegative val="0"/>
            <c:bubble3D val="0"/>
            <c:spPr>
              <a:solidFill>
                <a:schemeClr val="accent1">
                  <a:lumMod val="60000"/>
                  <a:lumOff val="40000"/>
                </a:schemeClr>
              </a:solidFill>
              <a:ln>
                <a:solidFill>
                  <a:schemeClr val="tx1">
                    <a:lumMod val="50000"/>
                    <a:lumOff val="50000"/>
                  </a:schemeClr>
                </a:solidFill>
              </a:ln>
              <a:effectLst/>
            </c:spPr>
            <c:extLst>
              <c:ext xmlns:c16="http://schemas.microsoft.com/office/drawing/2014/chart" uri="{C3380CC4-5D6E-409C-BE32-E72D297353CC}">
                <c16:uniqueId val="{00000001-4358-3E4B-96FF-3E21B276F621}"/>
              </c:ext>
            </c:extLst>
          </c:dPt>
          <c:dPt>
            <c:idx val="1"/>
            <c:invertIfNegative val="0"/>
            <c:bubble3D val="0"/>
            <c:spPr>
              <a:solidFill>
                <a:schemeClr val="accent1">
                  <a:lumMod val="60000"/>
                  <a:lumOff val="40000"/>
                </a:schemeClr>
              </a:solidFill>
              <a:ln>
                <a:solidFill>
                  <a:schemeClr val="tx1">
                    <a:lumMod val="50000"/>
                    <a:lumOff val="50000"/>
                  </a:schemeClr>
                </a:solidFill>
              </a:ln>
              <a:effectLst/>
            </c:spPr>
            <c:extLst>
              <c:ext xmlns:c16="http://schemas.microsoft.com/office/drawing/2014/chart" uri="{C3380CC4-5D6E-409C-BE32-E72D297353CC}">
                <c16:uniqueId val="{00000002-4358-3E4B-96FF-3E21B276F621}"/>
              </c:ext>
            </c:extLst>
          </c:dPt>
          <c:dPt>
            <c:idx val="2"/>
            <c:invertIfNegative val="0"/>
            <c:bubble3D val="0"/>
            <c:spPr>
              <a:solidFill>
                <a:schemeClr val="accent1">
                  <a:lumMod val="60000"/>
                  <a:lumOff val="40000"/>
                </a:schemeClr>
              </a:solidFill>
              <a:ln>
                <a:solidFill>
                  <a:schemeClr val="tx1">
                    <a:lumMod val="50000"/>
                    <a:lumOff val="50000"/>
                  </a:schemeClr>
                </a:solidFill>
              </a:ln>
              <a:effectLst/>
            </c:spPr>
            <c:extLst>
              <c:ext xmlns:c16="http://schemas.microsoft.com/office/drawing/2014/chart" uri="{C3380CC4-5D6E-409C-BE32-E72D297353CC}">
                <c16:uniqueId val="{00000003-4358-3E4B-96FF-3E21B276F621}"/>
              </c:ext>
            </c:extLst>
          </c:dPt>
          <c:dPt>
            <c:idx val="3"/>
            <c:invertIfNegative val="0"/>
            <c:bubble3D val="0"/>
            <c:spPr>
              <a:solidFill>
                <a:srgbClr val="00B0F0"/>
              </a:solidFill>
              <a:ln>
                <a:solidFill>
                  <a:schemeClr val="tx1">
                    <a:lumMod val="50000"/>
                    <a:lumOff val="50000"/>
                  </a:schemeClr>
                </a:solidFill>
              </a:ln>
              <a:effectLst/>
            </c:spPr>
            <c:extLst>
              <c:ext xmlns:c16="http://schemas.microsoft.com/office/drawing/2014/chart" uri="{C3380CC4-5D6E-409C-BE32-E72D297353CC}">
                <c16:uniqueId val="{00000000-4358-3E4B-96FF-3E21B276F621}"/>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Arial" panose="020B060402020202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Gráfico8y11_VisitasyDescargas!$J$35:$J$38</c:f>
              <c:numCache>
                <c:formatCode>#,##0</c:formatCode>
                <c:ptCount val="4"/>
                <c:pt idx="0">
                  <c:v>2019</c:v>
                </c:pt>
                <c:pt idx="1">
                  <c:v>2020</c:v>
                </c:pt>
                <c:pt idx="2">
                  <c:v>2021</c:v>
                </c:pt>
                <c:pt idx="3">
                  <c:v>2022</c:v>
                </c:pt>
              </c:numCache>
            </c:numRef>
          </c:cat>
          <c:val>
            <c:numRef>
              <c:f>Gráfico8y11_VisitasyDescargas!$K$35:$K$38</c:f>
              <c:numCache>
                <c:formatCode>#,##0</c:formatCode>
                <c:ptCount val="4"/>
                <c:pt idx="0">
                  <c:v>372491</c:v>
                </c:pt>
                <c:pt idx="1">
                  <c:v>229423</c:v>
                </c:pt>
                <c:pt idx="2">
                  <c:v>301847</c:v>
                </c:pt>
                <c:pt idx="3">
                  <c:v>329707</c:v>
                </c:pt>
              </c:numCache>
            </c:numRef>
          </c:val>
          <c:extLst>
            <c:ext xmlns:c16="http://schemas.microsoft.com/office/drawing/2014/chart" uri="{C3380CC4-5D6E-409C-BE32-E72D297353CC}">
              <c16:uniqueId val="{00000000-E958-4D0F-9960-1B05258A94EC}"/>
            </c:ext>
          </c:extLst>
        </c:ser>
        <c:dLbls>
          <c:showLegendKey val="0"/>
          <c:showVal val="0"/>
          <c:showCatName val="0"/>
          <c:showSerName val="0"/>
          <c:showPercent val="0"/>
          <c:showBubbleSize val="0"/>
        </c:dLbls>
        <c:gapWidth val="219"/>
        <c:overlap val="-27"/>
        <c:axId val="318017176"/>
        <c:axId val="318010120"/>
      </c:barChart>
      <c:catAx>
        <c:axId val="318017176"/>
        <c:scaling>
          <c:orientation val="minMax"/>
        </c:scaling>
        <c:delete val="0"/>
        <c:axPos val="b"/>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318010120"/>
        <c:crosses val="autoZero"/>
        <c:auto val="1"/>
        <c:lblAlgn val="ctr"/>
        <c:lblOffset val="100"/>
        <c:noMultiLvlLbl val="0"/>
      </c:catAx>
      <c:valAx>
        <c:axId val="318010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318017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132575122007232E-2"/>
          <c:y val="0.13186232482462737"/>
          <c:w val="0.42623777026886878"/>
          <c:h val="0.72776454045448735"/>
        </c:manualLayout>
      </c:layout>
      <c:pieChart>
        <c:varyColors val="1"/>
        <c:ser>
          <c:idx val="0"/>
          <c:order val="0"/>
          <c:tx>
            <c:strRef>
              <c:f>'Gradico9_Acceso y Tabla5_Disp'!$I$26</c:f>
              <c:strCache>
                <c:ptCount val="1"/>
                <c:pt idx="0">
                  <c:v>Visitas</c:v>
                </c:pt>
              </c:strCache>
            </c:strRef>
          </c:tx>
          <c:dPt>
            <c:idx val="0"/>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1-7073-4D9F-B709-AB6D7DD75A8B}"/>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7073-4D9F-B709-AB6D7DD75A8B}"/>
              </c:ext>
            </c:extLst>
          </c:dPt>
          <c:dPt>
            <c:idx val="2"/>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5-7073-4D9F-B709-AB6D7DD75A8B}"/>
              </c:ext>
            </c:extLst>
          </c:dPt>
          <c:dPt>
            <c:idx val="3"/>
            <c:bubble3D val="0"/>
            <c:spPr>
              <a:solidFill>
                <a:schemeClr val="accent1">
                  <a:lumMod val="20000"/>
                  <a:lumOff val="80000"/>
                </a:schemeClr>
              </a:solidFill>
              <a:ln w="19050">
                <a:solidFill>
                  <a:schemeClr val="lt1"/>
                </a:solidFill>
              </a:ln>
              <a:effectLst/>
            </c:spPr>
            <c:extLst>
              <c:ext xmlns:c16="http://schemas.microsoft.com/office/drawing/2014/chart" uri="{C3380CC4-5D6E-409C-BE32-E72D297353CC}">
                <c16:uniqueId val="{00000007-7073-4D9F-B709-AB6D7DD75A8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073-4D9F-B709-AB6D7DD75A8B}"/>
              </c:ext>
            </c:extLst>
          </c:dPt>
          <c:dLbls>
            <c:dLbl>
              <c:idx val="0"/>
              <c:layout>
                <c:manualLayout>
                  <c:x val="-0.11153759839487018"/>
                  <c:y val="-0.1648410715127675"/>
                </c:manualLayout>
              </c:layout>
              <c:tx>
                <c:rich>
                  <a:bodyPr rot="0" spcFirstLastPara="1" vertOverflow="ellipsis" horzOverflow="clip" vert="horz" wrap="square" lIns="38100" tIns="19050" rIns="38100" bIns="19050" anchor="ctr" anchorCtr="1">
                    <a:noAutofit/>
                  </a:bodyPr>
                  <a:lstStyle/>
                  <a:p>
                    <a:pPr>
                      <a:defRPr sz="1000" b="0" i="0" u="none" strike="noStrike" kern="1200" baseline="0">
                        <a:solidFill>
                          <a:schemeClr val="bg1"/>
                        </a:solidFill>
                        <a:latin typeface="+mn-lt"/>
                        <a:ea typeface="+mn-ea"/>
                        <a:cs typeface="Arial" panose="020B0604020202020204" pitchFamily="34" charset="0"/>
                      </a:defRPr>
                    </a:pPr>
                    <a:r>
                      <a:rPr lang="en-US" baseline="0">
                        <a:solidFill>
                          <a:schemeClr val="bg1"/>
                        </a:solidFill>
                        <a:latin typeface="+mn-lt"/>
                      </a:rPr>
                      <a:t>80,6%</a:t>
                    </a:r>
                  </a:p>
                </c:rich>
              </c:tx>
              <c:numFmt formatCode="0.0%" sourceLinked="0"/>
              <c:spPr>
                <a:noFill/>
                <a:ln>
                  <a:noFill/>
                </a:ln>
                <a:effectLst/>
              </c:spPr>
              <c:txPr>
                <a:bodyPr rot="0" spcFirstLastPara="1" vertOverflow="ellipsis" horzOverflow="clip" vert="horz" wrap="square" lIns="38100" tIns="19050" rIns="38100" bIns="19050" anchor="ctr" anchorCtr="1">
                  <a:noAutofit/>
                </a:bodyPr>
                <a:lstStyle/>
                <a:p>
                  <a:pPr>
                    <a:defRPr sz="1000" b="0" i="0" u="none" strike="noStrike" kern="1200" baseline="0">
                      <a:solidFill>
                        <a:schemeClr val="bg1"/>
                      </a:solidFill>
                      <a:latin typeface="+mn-lt"/>
                      <a:ea typeface="+mn-ea"/>
                      <a:cs typeface="Arial" panose="020B0604020202020204" pitchFamily="34" charset="0"/>
                    </a:defRPr>
                  </a:pPr>
                  <a:endParaRPr lang="es-ES"/>
                </a:p>
              </c:txPr>
              <c:dLblPos val="bestFit"/>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ext>
                <c:ext xmlns:c16="http://schemas.microsoft.com/office/drawing/2014/chart" uri="{C3380CC4-5D6E-409C-BE32-E72D297353CC}">
                  <c16:uniqueId val="{00000001-7073-4D9F-B709-AB6D7DD75A8B}"/>
                </c:ext>
              </c:extLst>
            </c:dLbl>
            <c:dLbl>
              <c:idx val="1"/>
              <c:layout>
                <c:manualLayout>
                  <c:x val="9.580060580549446E-2"/>
                  <c:y val="0.14818327349799837"/>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7073-4D9F-B709-AB6D7DD75A8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Arial" panose="020B0604020202020204" pitchFamily="34" charset="0"/>
                  </a:defRPr>
                </a:pPr>
                <a:endParaRPr lang="es-E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'Gradico9_Acceso y Tabla5_Disp'!$H$27:$H$30</c:f>
              <c:strCache>
                <c:ptCount val="4"/>
                <c:pt idx="0">
                  <c:v>Motores de búsqueda</c:v>
                </c:pt>
                <c:pt idx="1">
                  <c:v>Entrada directa</c:v>
                </c:pt>
                <c:pt idx="2">
                  <c:v>Sitios de internet</c:v>
                </c:pt>
                <c:pt idx="3">
                  <c:v>Otras vías de acceso</c:v>
                </c:pt>
              </c:strCache>
            </c:strRef>
          </c:cat>
          <c:val>
            <c:numRef>
              <c:f>'Gradico9_Acceso y Tabla5_Disp'!$I$27:$I$30</c:f>
              <c:numCache>
                <c:formatCode>General</c:formatCode>
                <c:ptCount val="4"/>
                <c:pt idx="0">
                  <c:v>1186836</c:v>
                </c:pt>
                <c:pt idx="1">
                  <c:v>235037</c:v>
                </c:pt>
                <c:pt idx="2">
                  <c:v>43979</c:v>
                </c:pt>
                <c:pt idx="3">
                  <c:v>5655</c:v>
                </c:pt>
              </c:numCache>
            </c:numRef>
          </c:val>
          <c:extLst>
            <c:ext xmlns:c16="http://schemas.microsoft.com/office/drawing/2014/chart" uri="{C3380CC4-5D6E-409C-BE32-E72D297353CC}">
              <c16:uniqueId val="{0000000A-7073-4D9F-B709-AB6D7DD75A8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58185203740612379"/>
          <c:y val="0.64291259999685657"/>
          <c:w val="0.39218979155875427"/>
          <c:h val="0.29145488550458137"/>
        </c:manualLayout>
      </c:layout>
      <c:overlay val="0"/>
      <c:spPr>
        <a:noFill/>
        <a:ln>
          <a:solidFill>
            <a:schemeClr val="accent1"/>
          </a:solid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endParaRPr lang="es-E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sz="1000">
          <a:latin typeface="Arial" panose="020B0604020202020204" pitchFamily="34" charset="0"/>
          <a:cs typeface="Arial" panose="020B0604020202020204" pitchFamily="34" charset="0"/>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37777208542003"/>
          <c:y val="0.14961605031569197"/>
          <c:w val="0.40287467191601051"/>
          <c:h val="0.6714577865266842"/>
        </c:manualLayout>
      </c:layout>
      <c:doughnutChart>
        <c:varyColors val="1"/>
        <c:ser>
          <c:idx val="0"/>
          <c:order val="0"/>
          <c:tx>
            <c:strRef>
              <c:f>GráficosyTablas!$I$37</c:f>
              <c:strCache>
                <c:ptCount val="1"/>
                <c:pt idx="0">
                  <c:v>Visitas (Número)</c:v>
                </c:pt>
              </c:strCache>
            </c:strRef>
          </c:tx>
          <c:dPt>
            <c:idx val="0"/>
            <c:bubble3D val="0"/>
            <c:spPr>
              <a:solidFill>
                <a:srgbClr val="002060"/>
              </a:solidFill>
              <a:ln w="19050">
                <a:solidFill>
                  <a:schemeClr val="lt1"/>
                </a:solidFill>
              </a:ln>
              <a:effectLst/>
            </c:spPr>
            <c:extLst>
              <c:ext xmlns:c16="http://schemas.microsoft.com/office/drawing/2014/chart" uri="{C3380CC4-5D6E-409C-BE32-E72D297353CC}">
                <c16:uniqueId val="{00000001-1F29-4623-A219-71867E9DF8A2}"/>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1F29-4623-A219-71867E9DF8A2}"/>
              </c:ext>
            </c:extLst>
          </c:dPt>
          <c:dPt>
            <c:idx val="2"/>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5-1F29-4623-A219-71867E9DF8A2}"/>
              </c:ext>
            </c:extLst>
          </c:dPt>
          <c:dPt>
            <c:idx val="3"/>
            <c:bubble3D val="0"/>
            <c:spPr>
              <a:solidFill>
                <a:schemeClr val="bg2"/>
              </a:solidFill>
              <a:ln w="19050">
                <a:solidFill>
                  <a:schemeClr val="lt1"/>
                </a:solidFill>
              </a:ln>
              <a:effectLst/>
            </c:spPr>
            <c:extLst>
              <c:ext xmlns:c16="http://schemas.microsoft.com/office/drawing/2014/chart" uri="{C3380CC4-5D6E-409C-BE32-E72D297353CC}">
                <c16:uniqueId val="{00000007-1F29-4623-A219-71867E9DF8A2}"/>
              </c:ext>
            </c:extLst>
          </c:dPt>
          <c:dLbls>
            <c:dLbl>
              <c:idx val="0"/>
              <c:layout>
                <c:manualLayout>
                  <c:x val="0.10058148672010052"/>
                  <c:y val="-9.1226187281996343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1F29-4623-A219-71867E9DF8A2}"/>
                </c:ext>
              </c:extLst>
            </c:dLbl>
            <c:dLbl>
              <c:idx val="1"/>
              <c:layout>
                <c:manualLayout>
                  <c:x val="-2.8288543140028287E-2"/>
                  <c:y val="-0.1770861282532868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1F29-4623-A219-71867E9DF8A2}"/>
                </c:ext>
              </c:extLst>
            </c:dLbl>
            <c:dLbl>
              <c:idx val="2"/>
              <c:layout>
                <c:manualLayout>
                  <c:x val="-3.4574886060034574E-2"/>
                  <c:y val="-8.0493694660584925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1F29-4623-A219-71867E9DF8A2}"/>
                </c:ext>
              </c:extLst>
            </c:dLbl>
            <c:dLbl>
              <c:idx val="3"/>
              <c:layout>
                <c:manualLayout>
                  <c:x val="5.6577086280056574E-2"/>
                  <c:y val="-8.0493694660584925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1F29-4623-A219-71867E9DF8A2}"/>
                </c:ext>
              </c:extLst>
            </c:dLbl>
            <c:numFmt formatCode="0.0%" sourceLinked="0"/>
            <c:spPr>
              <a:noFill/>
              <a:ln>
                <a:noFill/>
              </a:ln>
              <a:effectLst/>
            </c:spPr>
            <c:txPr>
              <a:bodyPr rot="0" spcFirstLastPara="1" vertOverflow="ellipsis" vert="horz" wrap="square" anchor="ctr" anchorCtr="1"/>
              <a:lstStyle/>
              <a:p>
                <a:pPr>
                  <a:defRPr sz="1000" b="0" i="0" u="none" strike="noStrike" kern="1200" baseline="0">
                    <a:ln>
                      <a:solidFill>
                        <a:schemeClr val="accent1"/>
                      </a:solidFill>
                    </a:ln>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GráficosyTablas!$H$38:$H$41</c:f>
              <c:strCache>
                <c:ptCount val="4"/>
                <c:pt idx="0">
                  <c:v>Ordenador</c:v>
                </c:pt>
                <c:pt idx="1">
                  <c:v>Teléfono móvil</c:v>
                </c:pt>
                <c:pt idx="2">
                  <c:v>Tableta</c:v>
                </c:pt>
                <c:pt idx="3">
                  <c:v>Otros dispositivos</c:v>
                </c:pt>
              </c:strCache>
            </c:strRef>
          </c:cat>
          <c:val>
            <c:numRef>
              <c:f>GráficosyTablas!$I$38:$I$41</c:f>
              <c:numCache>
                <c:formatCode>#,##0.0</c:formatCode>
                <c:ptCount val="4"/>
                <c:pt idx="0" formatCode="#,##0">
                  <c:v>922735</c:v>
                </c:pt>
                <c:pt idx="1">
                  <c:v>480001</c:v>
                </c:pt>
                <c:pt idx="2" formatCode="#,##0">
                  <c:v>67167</c:v>
                </c:pt>
                <c:pt idx="3" formatCode="#,##0">
                  <c:v>1604</c:v>
                </c:pt>
              </c:numCache>
            </c:numRef>
          </c:val>
          <c:extLst>
            <c:ext xmlns:c16="http://schemas.microsoft.com/office/drawing/2014/chart" uri="{C3380CC4-5D6E-409C-BE32-E72D297353CC}">
              <c16:uniqueId val="{00000008-1F29-4623-A219-71867E9DF8A2}"/>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59932310441392844"/>
          <c:y val="0.59622757109748192"/>
          <c:w val="0.37255046089535837"/>
          <c:h val="0.33306811963771499"/>
        </c:manualLayout>
      </c:layout>
      <c:overlay val="0"/>
      <c:spPr>
        <a:noFill/>
        <a:ln>
          <a:solidFill>
            <a:schemeClr val="accent1"/>
          </a:solidFill>
        </a:ln>
        <a:effectLst/>
      </c:spPr>
      <c:txPr>
        <a:bodyPr rot="0" spcFirstLastPara="1" vertOverflow="ellipsis" vert="horz" wrap="square" anchor="ctr" anchorCtr="1"/>
        <a:lstStyle/>
        <a:p>
          <a:pPr>
            <a:defRPr sz="1000" b="0" i="0" u="none" strike="noStrike" kern="1200" baseline="0">
              <a:ln>
                <a:solidFill>
                  <a:schemeClr val="accent1"/>
                </a:solidFill>
              </a:ln>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sz="1000">
          <a:ln>
            <a:solidFill>
              <a:schemeClr val="accent1"/>
            </a:solidFill>
          </a:ln>
          <a:latin typeface="Arial" panose="020B0604020202020204" pitchFamily="34" charset="0"/>
          <a:cs typeface="Arial" panose="020B0604020202020204" pitchFamily="34" charset="0"/>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107988559984443E-2"/>
          <c:y val="3.319745956506117E-2"/>
          <c:w val="0.88973190165044558"/>
          <c:h val="0.57766387542445685"/>
        </c:manualLayout>
      </c:layout>
      <c:barChart>
        <c:barDir val="col"/>
        <c:grouping val="clustered"/>
        <c:varyColors val="0"/>
        <c:ser>
          <c:idx val="0"/>
          <c:order val="0"/>
          <c:spPr>
            <a:solidFill>
              <a:schemeClr val="accent1"/>
            </a:solidFill>
            <a:ln>
              <a:noFill/>
            </a:ln>
            <a:effectLst/>
          </c:spPr>
          <c:invertIfNegative val="0"/>
          <c:cat>
            <c:strRef>
              <c:f>Tabla6y7_VisitasyPais!$A$93:$A$111</c:f>
              <c:strCache>
                <c:ptCount val="19"/>
                <c:pt idx="0">
                  <c:v>C. de Madrid</c:v>
                </c:pt>
                <c:pt idx="1">
                  <c:v>Cataluña</c:v>
                </c:pt>
                <c:pt idx="2">
                  <c:v>Andalucía</c:v>
                </c:pt>
                <c:pt idx="3">
                  <c:v>C. Valenciana</c:v>
                </c:pt>
                <c:pt idx="4">
                  <c:v>Castilla y León</c:v>
                </c:pt>
                <c:pt idx="5">
                  <c:v>País Vasco</c:v>
                </c:pt>
                <c:pt idx="6">
                  <c:v>Canarias</c:v>
                </c:pt>
                <c:pt idx="7">
                  <c:v>Castilla-La Mancha</c:v>
                </c:pt>
                <c:pt idx="8">
                  <c:v>Galicia</c:v>
                </c:pt>
                <c:pt idx="9">
                  <c:v>Aragón</c:v>
                </c:pt>
                <c:pt idx="10">
                  <c:v>Illes Balears</c:v>
                </c:pt>
                <c:pt idx="11">
                  <c:v>Ppdo de Asturias</c:v>
                </c:pt>
                <c:pt idx="12">
                  <c:v>Extremadura</c:v>
                </c:pt>
                <c:pt idx="13">
                  <c:v>Región de Murcia</c:v>
                </c:pt>
                <c:pt idx="14">
                  <c:v>C. Foral de Navarra</c:v>
                </c:pt>
                <c:pt idx="15">
                  <c:v>Cantabria</c:v>
                </c:pt>
                <c:pt idx="16">
                  <c:v>La Rioja</c:v>
                </c:pt>
                <c:pt idx="17">
                  <c:v>Melilla</c:v>
                </c:pt>
                <c:pt idx="18">
                  <c:v>Ceuta</c:v>
                </c:pt>
              </c:strCache>
            </c:strRef>
          </c:cat>
          <c:val>
            <c:numRef>
              <c:f>Tabla6y7_VisitasyPais!$B$93:$B$111</c:f>
              <c:numCache>
                <c:formatCode>0.0%</c:formatCode>
                <c:ptCount val="19"/>
                <c:pt idx="0">
                  <c:v>0.43993343758771403</c:v>
                </c:pt>
                <c:pt idx="1">
                  <c:v>0.13122650847014083</c:v>
                </c:pt>
                <c:pt idx="2">
                  <c:v>0.11125461916550067</c:v>
                </c:pt>
                <c:pt idx="3">
                  <c:v>5.5276981097034661E-2</c:v>
                </c:pt>
                <c:pt idx="4">
                  <c:v>4.0602227329420627E-2</c:v>
                </c:pt>
                <c:pt idx="5">
                  <c:v>3.6123931867440763E-2</c:v>
                </c:pt>
                <c:pt idx="6">
                  <c:v>3.3203120878100463E-2</c:v>
                </c:pt>
                <c:pt idx="7">
                  <c:v>2.984228886905101E-2</c:v>
                </c:pt>
                <c:pt idx="8">
                  <c:v>2.4657005197946145E-2</c:v>
                </c:pt>
                <c:pt idx="9">
                  <c:v>1.8429177719952474E-2</c:v>
                </c:pt>
                <c:pt idx="10">
                  <c:v>1.6916011911168514E-2</c:v>
                </c:pt>
                <c:pt idx="11">
                  <c:v>1.4770777539301158E-2</c:v>
                </c:pt>
                <c:pt idx="12">
                  <c:v>1.4347639820108433E-2</c:v>
                </c:pt>
                <c:pt idx="13">
                  <c:v>1.3607940216232871E-2</c:v>
                </c:pt>
                <c:pt idx="14">
                  <c:v>8.7898683313600984E-3</c:v>
                </c:pt>
                <c:pt idx="15">
                  <c:v>6.3491762004554272E-3</c:v>
                </c:pt>
                <c:pt idx="16">
                  <c:v>2.9915098102528065E-3</c:v>
                </c:pt>
                <c:pt idx="17">
                  <c:v>1.2630819198845183E-3</c:v>
                </c:pt>
                <c:pt idx="18">
                  <c:v>4.1469606893451602E-4</c:v>
                </c:pt>
              </c:numCache>
            </c:numRef>
          </c:val>
          <c:extLst>
            <c:ext xmlns:c16="http://schemas.microsoft.com/office/drawing/2014/chart" uri="{C3380CC4-5D6E-409C-BE32-E72D297353CC}">
              <c16:uniqueId val="{00000000-251C-4294-96FE-B62D1F9FAA1A}"/>
            </c:ext>
          </c:extLst>
        </c:ser>
        <c:dLbls>
          <c:showLegendKey val="0"/>
          <c:showVal val="0"/>
          <c:showCatName val="0"/>
          <c:showSerName val="0"/>
          <c:showPercent val="0"/>
          <c:showBubbleSize val="0"/>
        </c:dLbls>
        <c:gapWidth val="219"/>
        <c:overlap val="-27"/>
        <c:axId val="316132200"/>
        <c:axId val="315110368"/>
      </c:barChart>
      <c:catAx>
        <c:axId val="316132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15110368"/>
        <c:crosses val="autoZero"/>
        <c:auto val="1"/>
        <c:lblAlgn val="ctr"/>
        <c:lblOffset val="100"/>
        <c:noMultiLvlLbl val="0"/>
      </c:catAx>
      <c:valAx>
        <c:axId val="315110368"/>
        <c:scaling>
          <c:orientation val="minMax"/>
          <c:max val="0.5"/>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16132200"/>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1DF7E4-2FBA-4B6D-B44A-F227FBD4E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25</Pages>
  <Words>6338</Words>
  <Characters>34859</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Comunidad de Madrid</Company>
  <LinksUpToDate>false</LinksUpToDate>
  <CharactersWithSpaces>41115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FERRO PICON, ROCIO</dc:creator>
  <cp:keywords/>
  <dc:description/>
  <cp:lastModifiedBy>FERRO PICON, ROCIO</cp:lastModifiedBy>
  <cp:revision>13</cp:revision>
  <dcterms:created xsi:type="dcterms:W3CDTF">2023-06-06T07:29:00Z</dcterms:created>
  <dcterms:modified xsi:type="dcterms:W3CDTF">2023-07-24T17:21:00Z</dcterms:modified>
</cp:coreProperties>
</file>