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6" w:type="dxa"/>
        <w:jc w:val="center"/>
        <w:tblCellMar>
          <w:left w:w="70" w:type="dxa"/>
          <w:right w:w="70" w:type="dxa"/>
        </w:tblCellMar>
        <w:tblLook w:val="04A0" w:firstRow="1" w:lastRow="0" w:firstColumn="1" w:lastColumn="0" w:noHBand="0" w:noVBand="1"/>
      </w:tblPr>
      <w:tblGrid>
        <w:gridCol w:w="1568"/>
        <w:gridCol w:w="2538"/>
        <w:gridCol w:w="3557"/>
        <w:gridCol w:w="1139"/>
        <w:gridCol w:w="1134"/>
      </w:tblGrid>
      <w:tr w:rsidR="00BC1316" w:rsidRPr="00BC1316" w:rsidTr="00EC5E9B">
        <w:trPr>
          <w:trHeight w:val="699"/>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BC1316" w:rsidRPr="00BC1316" w:rsidRDefault="00F22EF9" w:rsidP="00E2646D">
            <w:pPr>
              <w:spacing w:after="0" w:line="240" w:lineRule="auto"/>
              <w:rPr>
                <w:rFonts w:ascii="Calibri" w:eastAsia="Times New Roman" w:hAnsi="Calibri" w:cs="Times New Roman"/>
                <w:b/>
                <w:color w:val="000000"/>
                <w:sz w:val="17"/>
                <w:szCs w:val="17"/>
                <w:lang w:val="es-ES" w:eastAsia="es-ES"/>
              </w:rPr>
            </w:pPr>
            <w:r w:rsidRPr="00E2646D">
              <w:rPr>
                <w:rFonts w:ascii="Calibri" w:eastAsia="Times New Roman" w:hAnsi="Calibri" w:cs="Times New Roman"/>
                <w:b/>
                <w:color w:val="000000"/>
                <w:sz w:val="17"/>
                <w:szCs w:val="17"/>
                <w:lang w:val="es-ES" w:eastAsia="es-ES"/>
              </w:rPr>
              <w:t>ÓRGANO PROPONENTE</w:t>
            </w:r>
          </w:p>
        </w:tc>
        <w:tc>
          <w:tcPr>
            <w:tcW w:w="6095" w:type="dxa"/>
            <w:gridSpan w:val="2"/>
            <w:tcBorders>
              <w:top w:val="single" w:sz="4" w:space="0" w:color="auto"/>
              <w:left w:val="nil"/>
              <w:bottom w:val="single" w:sz="4" w:space="0" w:color="auto"/>
              <w:right w:val="single" w:sz="4" w:space="0" w:color="auto"/>
            </w:tcBorders>
            <w:shd w:val="clear" w:color="auto" w:fill="auto"/>
            <w:noWrap/>
            <w:vAlign w:val="center"/>
            <w:hideMark/>
          </w:tcPr>
          <w:p w:rsidR="00BC1316" w:rsidRDefault="006D67E5" w:rsidP="006D67E5">
            <w:pPr>
              <w:spacing w:after="0" w:line="240" w:lineRule="auto"/>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CONSEJERÍA DE ECONOMÍA, EMPLEO Y HACIENDA</w:t>
            </w:r>
          </w:p>
          <w:p w:rsidR="006D67E5" w:rsidRPr="00BC1316" w:rsidRDefault="006D67E5" w:rsidP="006D67E5">
            <w:pPr>
              <w:spacing w:after="0" w:line="240" w:lineRule="auto"/>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DIRECCIÓN DE ÁREA DE ORDENACIÓN Y CONTROL DEL JUEGO</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BC1316" w:rsidRPr="00BC1316" w:rsidRDefault="00BC1316" w:rsidP="00BC1316">
            <w:pPr>
              <w:spacing w:after="0" w:line="240" w:lineRule="auto"/>
              <w:rPr>
                <w:rFonts w:ascii="Calibri" w:eastAsia="Times New Roman" w:hAnsi="Calibri" w:cs="Times New Roman"/>
                <w:color w:val="000000"/>
                <w:sz w:val="17"/>
                <w:szCs w:val="17"/>
                <w:lang w:val="es-ES"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C1316" w:rsidRPr="00BC1316" w:rsidRDefault="002C4D6F" w:rsidP="002C4D6F">
            <w:pPr>
              <w:spacing w:after="0" w:line="240" w:lineRule="auto"/>
              <w:jc w:val="center"/>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26</w:t>
            </w:r>
            <w:r w:rsidR="006D67E5">
              <w:rPr>
                <w:rFonts w:ascii="Calibri" w:eastAsia="Times New Roman" w:hAnsi="Calibri" w:cs="Times New Roman"/>
                <w:color w:val="000000"/>
                <w:sz w:val="18"/>
                <w:szCs w:val="18"/>
                <w:lang w:val="es-ES" w:eastAsia="es-ES"/>
              </w:rPr>
              <w:t xml:space="preserve"> </w:t>
            </w:r>
            <w:r w:rsidR="00607BDD">
              <w:rPr>
                <w:rFonts w:ascii="Calibri" w:eastAsia="Times New Roman" w:hAnsi="Calibri" w:cs="Times New Roman"/>
                <w:color w:val="000000"/>
                <w:sz w:val="18"/>
                <w:szCs w:val="18"/>
                <w:lang w:val="es-ES" w:eastAsia="es-ES"/>
              </w:rPr>
              <w:t>Febrero 2019</w:t>
            </w:r>
          </w:p>
        </w:tc>
      </w:tr>
      <w:tr w:rsidR="00BC1316" w:rsidRPr="00AF329A" w:rsidTr="00EC5E9B">
        <w:trPr>
          <w:trHeight w:val="290"/>
          <w:jc w:val="center"/>
        </w:trPr>
        <w:tc>
          <w:tcPr>
            <w:tcW w:w="1568"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BC1316" w:rsidRPr="00AF329A" w:rsidRDefault="00BC1316" w:rsidP="00E2646D">
            <w:pPr>
              <w:spacing w:after="0" w:line="240" w:lineRule="auto"/>
              <w:rPr>
                <w:rFonts w:ascii="Calibri" w:eastAsia="Times New Roman" w:hAnsi="Calibri" w:cs="Times New Roman"/>
                <w:b/>
                <w:color w:val="000000"/>
                <w:sz w:val="16"/>
                <w:szCs w:val="16"/>
                <w:lang w:val="es-ES" w:eastAsia="es-ES"/>
              </w:rPr>
            </w:pPr>
          </w:p>
          <w:p w:rsidR="00BC1316" w:rsidRPr="00AF329A" w:rsidRDefault="00F22EF9"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TÍTULO DE LA NORMA</w:t>
            </w:r>
          </w:p>
          <w:p w:rsidR="00BC1316" w:rsidRPr="00AF329A" w:rsidRDefault="00BC1316" w:rsidP="00E2646D">
            <w:pPr>
              <w:spacing w:after="0" w:line="240" w:lineRule="auto"/>
              <w:rPr>
                <w:rFonts w:ascii="Calibri" w:eastAsia="Times New Roman" w:hAnsi="Calibri" w:cs="Times New Roman"/>
                <w:color w:val="000000"/>
                <w:sz w:val="16"/>
                <w:szCs w:val="16"/>
                <w:lang w:val="es-ES" w:eastAsia="es-ES"/>
              </w:rPr>
            </w:pPr>
          </w:p>
        </w:tc>
        <w:tc>
          <w:tcPr>
            <w:tcW w:w="8368" w:type="dxa"/>
            <w:gridSpan w:val="4"/>
            <w:tcBorders>
              <w:top w:val="nil"/>
              <w:left w:val="nil"/>
              <w:bottom w:val="single" w:sz="4" w:space="0" w:color="auto"/>
              <w:right w:val="single" w:sz="4" w:space="0" w:color="auto"/>
            </w:tcBorders>
            <w:shd w:val="clear" w:color="auto" w:fill="auto"/>
            <w:noWrap/>
            <w:vAlign w:val="center"/>
          </w:tcPr>
          <w:p w:rsidR="00BC1316" w:rsidRPr="00AF329A" w:rsidRDefault="00D558D8" w:rsidP="00D558D8">
            <w:pPr>
              <w:spacing w:after="0" w:line="240" w:lineRule="auto"/>
              <w:jc w:val="both"/>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Proyecto de Decreto del Consejo de Gobierno por el que se modifica el Decreto</w:t>
            </w:r>
            <w:r w:rsidRPr="00AF329A">
              <w:rPr>
                <w:sz w:val="16"/>
                <w:szCs w:val="16"/>
              </w:rPr>
              <w:t xml:space="preserve"> </w:t>
            </w:r>
            <w:r w:rsidRPr="00AF329A">
              <w:rPr>
                <w:rFonts w:ascii="Calibri" w:eastAsia="Times New Roman" w:hAnsi="Calibri" w:cs="Times New Roman"/>
                <w:color w:val="000000"/>
                <w:sz w:val="16"/>
                <w:szCs w:val="16"/>
                <w:lang w:val="es-ES" w:eastAsia="es-ES"/>
              </w:rPr>
              <w:t>73/2009, de 30 de julio, por el que se aprueba el R</w:t>
            </w:r>
            <w:r w:rsidR="00DF7B4B" w:rsidRPr="00AF329A">
              <w:rPr>
                <w:rFonts w:ascii="Calibri" w:eastAsia="Times New Roman" w:hAnsi="Calibri" w:cs="Times New Roman"/>
                <w:color w:val="000000"/>
                <w:sz w:val="16"/>
                <w:szCs w:val="16"/>
                <w:lang w:val="es-ES" w:eastAsia="es-ES"/>
              </w:rPr>
              <w:t>eglamento de M</w:t>
            </w:r>
            <w:r w:rsidRPr="00AF329A">
              <w:rPr>
                <w:rFonts w:ascii="Calibri" w:eastAsia="Times New Roman" w:hAnsi="Calibri" w:cs="Times New Roman"/>
                <w:color w:val="000000"/>
                <w:sz w:val="16"/>
                <w:szCs w:val="16"/>
                <w:lang w:val="es-ES" w:eastAsia="es-ES"/>
              </w:rPr>
              <w:t>áquin</w:t>
            </w:r>
            <w:r w:rsidR="00DF7B4B" w:rsidRPr="00AF329A">
              <w:rPr>
                <w:rFonts w:ascii="Calibri" w:eastAsia="Times New Roman" w:hAnsi="Calibri" w:cs="Times New Roman"/>
                <w:color w:val="000000"/>
                <w:sz w:val="16"/>
                <w:szCs w:val="16"/>
                <w:lang w:val="es-ES" w:eastAsia="es-ES"/>
              </w:rPr>
              <w:t>as Recreativas y de J</w:t>
            </w:r>
            <w:r w:rsidRPr="00AF329A">
              <w:rPr>
                <w:rFonts w:ascii="Calibri" w:eastAsia="Times New Roman" w:hAnsi="Calibri" w:cs="Times New Roman"/>
                <w:color w:val="000000"/>
                <w:sz w:val="16"/>
                <w:szCs w:val="16"/>
                <w:lang w:val="es-ES" w:eastAsia="es-ES"/>
              </w:rPr>
              <w:t>uego y el Decreto 106/2006, de 30 de noviembre, por el que se aprueba el R</w:t>
            </w:r>
            <w:r w:rsidR="00DF7B4B" w:rsidRPr="00AF329A">
              <w:rPr>
                <w:rFonts w:ascii="Calibri" w:eastAsia="Times New Roman" w:hAnsi="Calibri" w:cs="Times New Roman"/>
                <w:color w:val="000000"/>
                <w:sz w:val="16"/>
                <w:szCs w:val="16"/>
                <w:lang w:val="es-ES" w:eastAsia="es-ES"/>
              </w:rPr>
              <w:t>eglamento de Apuestas de la C</w:t>
            </w:r>
            <w:r w:rsidRPr="00AF329A">
              <w:rPr>
                <w:rFonts w:ascii="Calibri" w:eastAsia="Times New Roman" w:hAnsi="Calibri" w:cs="Times New Roman"/>
                <w:color w:val="000000"/>
                <w:sz w:val="16"/>
                <w:szCs w:val="16"/>
                <w:lang w:val="es-ES" w:eastAsia="es-ES"/>
              </w:rPr>
              <w:t xml:space="preserve">omunidad de Madrid.  </w:t>
            </w:r>
          </w:p>
        </w:tc>
      </w:tr>
      <w:tr w:rsidR="00BC1316" w:rsidRPr="00AF329A" w:rsidTr="00EC5E9B">
        <w:trPr>
          <w:trHeight w:val="290"/>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BC1316" w:rsidRPr="00AF329A" w:rsidRDefault="00F22EF9"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b/>
                <w:color w:val="000000"/>
                <w:sz w:val="16"/>
                <w:szCs w:val="16"/>
                <w:lang w:val="es-ES" w:eastAsia="es-ES"/>
              </w:rPr>
              <w:t>TIPO DE MEMORIA</w:t>
            </w:r>
          </w:p>
        </w:tc>
        <w:tc>
          <w:tcPr>
            <w:tcW w:w="8368" w:type="dxa"/>
            <w:gridSpan w:val="4"/>
            <w:tcBorders>
              <w:top w:val="single" w:sz="4" w:space="0" w:color="auto"/>
              <w:left w:val="nil"/>
              <w:bottom w:val="single" w:sz="4" w:space="0" w:color="auto"/>
              <w:right w:val="single" w:sz="4" w:space="0" w:color="auto"/>
            </w:tcBorders>
            <w:shd w:val="clear" w:color="auto" w:fill="auto"/>
            <w:noWrap/>
            <w:vAlign w:val="center"/>
          </w:tcPr>
          <w:p w:rsidR="0067774F" w:rsidRPr="00AF329A" w:rsidRDefault="0067774F" w:rsidP="00BC1316">
            <w:pPr>
              <w:spacing w:after="0" w:line="240" w:lineRule="auto"/>
              <w:jc w:val="center"/>
              <w:rPr>
                <w:rFonts w:ascii="Calibri" w:eastAsia="Times New Roman" w:hAnsi="Calibri" w:cs="Times New Roman"/>
                <w:sz w:val="16"/>
                <w:szCs w:val="16"/>
                <w:lang w:val="es-ES" w:eastAsia="es-ES"/>
              </w:rPr>
            </w:pPr>
          </w:p>
          <w:p w:rsidR="000112E1" w:rsidRPr="000112E1" w:rsidRDefault="000112E1" w:rsidP="000112E1">
            <w:pPr>
              <w:spacing w:after="0" w:line="240" w:lineRule="auto"/>
              <w:jc w:val="center"/>
              <w:rPr>
                <w:rFonts w:ascii="Calibri" w:eastAsia="Times New Roman" w:hAnsi="Calibri" w:cs="Times New Roman"/>
                <w:color w:val="000000"/>
                <w:sz w:val="17"/>
                <w:szCs w:val="17"/>
                <w:lang w:val="es-ES" w:eastAsia="es-ES"/>
              </w:rPr>
            </w:pPr>
            <w:r w:rsidRPr="000112E1">
              <w:rPr>
                <w:rFonts w:ascii="Calibri" w:eastAsia="Times New Roman" w:hAnsi="Calibri" w:cs="Times New Roman"/>
                <w:color w:val="000000"/>
                <w:sz w:val="18"/>
                <w:szCs w:val="18"/>
                <w:lang w:val="es-ES" w:eastAsia="es-ES"/>
              </w:rPr>
              <w:sym w:font="Symbol" w:char="F084"/>
            </w:r>
            <w:r>
              <w:rPr>
                <w:rFonts w:ascii="Calibri" w:eastAsia="Times New Roman" w:hAnsi="Calibri" w:cs="Times New Roman"/>
                <w:color w:val="000000"/>
                <w:sz w:val="18"/>
                <w:szCs w:val="18"/>
                <w:lang w:val="es-ES" w:eastAsia="es-ES"/>
              </w:rPr>
              <w:t>X</w:t>
            </w:r>
            <w:r w:rsidRPr="000112E1">
              <w:rPr>
                <w:rFonts w:ascii="Calibri" w:eastAsia="Times New Roman" w:hAnsi="Calibri" w:cs="Times New Roman"/>
                <w:color w:val="000000"/>
                <w:sz w:val="18"/>
                <w:szCs w:val="18"/>
                <w:lang w:val="es-ES" w:eastAsia="es-ES"/>
              </w:rPr>
              <w:t xml:space="preserve">     </w:t>
            </w:r>
            <w:r w:rsidRPr="000112E1">
              <w:rPr>
                <w:rFonts w:ascii="Calibri" w:eastAsia="Times New Roman" w:hAnsi="Calibri" w:cs="Times New Roman"/>
                <w:color w:val="000000"/>
                <w:sz w:val="17"/>
                <w:szCs w:val="17"/>
                <w:lang w:val="es-ES" w:eastAsia="es-ES"/>
              </w:rPr>
              <w:t>Normal</w:t>
            </w:r>
          </w:p>
          <w:p w:rsidR="0067774F" w:rsidRPr="00AF329A" w:rsidRDefault="000112E1" w:rsidP="000112E1">
            <w:pPr>
              <w:spacing w:after="0" w:line="240" w:lineRule="auto"/>
              <w:jc w:val="center"/>
              <w:rPr>
                <w:rFonts w:ascii="Calibri" w:eastAsia="Times New Roman" w:hAnsi="Calibri" w:cs="Times New Roman"/>
                <w:color w:val="FF0000"/>
                <w:sz w:val="16"/>
                <w:szCs w:val="16"/>
                <w:lang w:val="es-ES" w:eastAsia="es-ES"/>
              </w:rPr>
            </w:pPr>
            <w:r w:rsidRPr="000112E1">
              <w:rPr>
                <w:rFonts w:ascii="Calibri" w:eastAsia="Times New Roman" w:hAnsi="Calibri" w:cs="Times New Roman"/>
                <w:color w:val="000000"/>
                <w:sz w:val="17"/>
                <w:szCs w:val="17"/>
                <w:lang w:val="es-ES" w:eastAsia="es-ES"/>
              </w:rPr>
              <w:sym w:font="Symbol" w:char="F084"/>
            </w:r>
            <w:r w:rsidRPr="000112E1">
              <w:rPr>
                <w:rFonts w:ascii="Calibri" w:eastAsia="Times New Roman" w:hAnsi="Calibri" w:cs="Times New Roman"/>
                <w:color w:val="000000"/>
                <w:sz w:val="17"/>
                <w:szCs w:val="17"/>
                <w:lang w:val="es-ES" w:eastAsia="es-ES"/>
              </w:rPr>
              <w:t xml:space="preserve"> Abreviada</w:t>
            </w:r>
            <w:r w:rsidRPr="00AF329A">
              <w:rPr>
                <w:rFonts w:ascii="Calibri" w:eastAsia="Times New Roman" w:hAnsi="Calibri" w:cs="Times New Roman"/>
                <w:sz w:val="16"/>
                <w:szCs w:val="16"/>
                <w:lang w:val="es-ES" w:eastAsia="es-ES"/>
              </w:rPr>
              <w:t xml:space="preserve"> </w:t>
            </w:r>
            <w:r w:rsidR="00AF329A">
              <w:rPr>
                <w:rFonts w:ascii="Calibri" w:eastAsia="Times New Roman" w:hAnsi="Calibri" w:cs="Times New Roman"/>
                <w:sz w:val="16"/>
                <w:szCs w:val="16"/>
                <w:lang w:val="es-ES" w:eastAsia="es-ES"/>
              </w:rPr>
              <w:t xml:space="preserve"> </w:t>
            </w:r>
          </w:p>
          <w:p w:rsidR="00BC1316" w:rsidRPr="00AF329A" w:rsidRDefault="00BC1316" w:rsidP="00BC1316">
            <w:pPr>
              <w:spacing w:after="0" w:line="240" w:lineRule="auto"/>
              <w:jc w:val="center"/>
              <w:rPr>
                <w:rFonts w:ascii="Calibri" w:eastAsia="Times New Roman" w:hAnsi="Calibri" w:cs="Times New Roman"/>
                <w:color w:val="000000"/>
                <w:sz w:val="16"/>
                <w:szCs w:val="16"/>
                <w:lang w:val="es-ES" w:eastAsia="es-ES"/>
              </w:rPr>
            </w:pPr>
          </w:p>
        </w:tc>
        <w:bookmarkStart w:id="0" w:name="_GoBack"/>
        <w:bookmarkEnd w:id="0"/>
      </w:tr>
      <w:tr w:rsidR="00BC1316" w:rsidRPr="00AF329A" w:rsidTr="00EC5E9B">
        <w:trPr>
          <w:trHeight w:val="290"/>
          <w:jc w:val="center"/>
        </w:trPr>
        <w:tc>
          <w:tcPr>
            <w:tcW w:w="9936"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BC1316" w:rsidRPr="00AF329A" w:rsidRDefault="00BC1316" w:rsidP="00E2646D">
            <w:pPr>
              <w:spacing w:after="0" w:line="240" w:lineRule="auto"/>
              <w:jc w:val="center"/>
              <w:rPr>
                <w:rFonts w:ascii="Calibri" w:eastAsia="Times New Roman" w:hAnsi="Calibri" w:cs="Times New Roman"/>
                <w:color w:val="000000"/>
                <w:sz w:val="16"/>
                <w:szCs w:val="16"/>
                <w:lang w:val="es-ES" w:eastAsia="es-ES"/>
              </w:rPr>
            </w:pPr>
            <w:r w:rsidRPr="00AF329A">
              <w:rPr>
                <w:rFonts w:ascii="Calibri" w:eastAsia="Times New Roman" w:hAnsi="Calibri" w:cs="Times New Roman"/>
                <w:b/>
                <w:color w:val="000000"/>
                <w:sz w:val="16"/>
                <w:szCs w:val="16"/>
                <w:lang w:val="es-ES" w:eastAsia="es-ES"/>
              </w:rPr>
              <w:t>OPORTUNIDAD DE LA PROPUESTA</w:t>
            </w:r>
          </w:p>
        </w:tc>
      </w:tr>
      <w:tr w:rsidR="00BC1316" w:rsidRPr="00AF329A" w:rsidTr="00EC5E9B">
        <w:trPr>
          <w:trHeight w:val="3980"/>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BC1316" w:rsidRPr="00AF329A" w:rsidRDefault="00F22EF9"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b/>
                <w:color w:val="000000"/>
                <w:sz w:val="16"/>
                <w:szCs w:val="16"/>
                <w:lang w:val="es-ES" w:eastAsia="es-ES"/>
              </w:rPr>
              <w:t>SITUACIÓN QUE SE REGULA</w:t>
            </w:r>
          </w:p>
        </w:tc>
        <w:tc>
          <w:tcPr>
            <w:tcW w:w="83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CA6" w:rsidRDefault="00205CA6" w:rsidP="00607BDD">
            <w:pPr>
              <w:spacing w:after="0" w:line="240" w:lineRule="auto"/>
              <w:jc w:val="both"/>
              <w:rPr>
                <w:rFonts w:ascii="Calibri" w:eastAsia="Times New Roman" w:hAnsi="Calibri" w:cs="Times New Roman"/>
                <w:color w:val="000000"/>
                <w:sz w:val="16"/>
                <w:szCs w:val="16"/>
                <w:lang w:val="es-ES" w:eastAsia="es-ES"/>
              </w:rPr>
            </w:pPr>
          </w:p>
          <w:p w:rsidR="00607BDD" w:rsidRDefault="00607BDD" w:rsidP="00607BDD">
            <w:pPr>
              <w:spacing w:after="0" w:line="240" w:lineRule="auto"/>
              <w:jc w:val="both"/>
              <w:rPr>
                <w:rFonts w:ascii="Calibri" w:eastAsia="Times New Roman" w:hAnsi="Calibri" w:cs="Times New Roman"/>
                <w:color w:val="000000"/>
                <w:sz w:val="16"/>
                <w:szCs w:val="16"/>
                <w:lang w:val="es-ES" w:eastAsia="es-ES"/>
              </w:rPr>
            </w:pPr>
            <w:r w:rsidRPr="00607BDD">
              <w:rPr>
                <w:rFonts w:ascii="Calibri" w:eastAsia="Times New Roman" w:hAnsi="Calibri" w:cs="Times New Roman"/>
                <w:color w:val="000000"/>
                <w:sz w:val="16"/>
                <w:szCs w:val="16"/>
                <w:lang w:val="es-ES" w:eastAsia="es-ES"/>
              </w:rPr>
              <w:t xml:space="preserve">Se refuerzan los actuales sistemas de control de acceso a los salones de juego con el establecimiento de un servicio de control de admisión situado a la entrada de los establecimientos donde se deben identificar y registrar obligatoriamente a todas las personas que pretendan acceder a los mismos. </w:t>
            </w:r>
          </w:p>
          <w:p w:rsidR="00607BDD" w:rsidRPr="00607BDD" w:rsidRDefault="00607BDD" w:rsidP="00607BDD">
            <w:pPr>
              <w:spacing w:after="0" w:line="240" w:lineRule="auto"/>
              <w:jc w:val="both"/>
              <w:rPr>
                <w:rFonts w:ascii="Calibri" w:eastAsia="Times New Roman" w:hAnsi="Calibri" w:cs="Times New Roman"/>
                <w:color w:val="000000"/>
                <w:sz w:val="16"/>
                <w:szCs w:val="16"/>
                <w:lang w:val="es-ES" w:eastAsia="es-ES"/>
              </w:rPr>
            </w:pPr>
          </w:p>
          <w:p w:rsidR="00607BDD" w:rsidRPr="00607BDD" w:rsidRDefault="00607BDD" w:rsidP="00607BDD">
            <w:pPr>
              <w:spacing w:after="0" w:line="240" w:lineRule="auto"/>
              <w:jc w:val="both"/>
              <w:rPr>
                <w:rFonts w:ascii="Calibri" w:eastAsia="Times New Roman" w:hAnsi="Calibri" w:cs="Times New Roman"/>
                <w:color w:val="000000"/>
                <w:sz w:val="16"/>
                <w:szCs w:val="16"/>
                <w:lang w:val="es-ES" w:eastAsia="es-ES"/>
              </w:rPr>
            </w:pPr>
            <w:r w:rsidRPr="00607BDD">
              <w:rPr>
                <w:rFonts w:ascii="Calibri" w:eastAsia="Times New Roman" w:hAnsi="Calibri" w:cs="Times New Roman"/>
                <w:color w:val="000000"/>
                <w:sz w:val="16"/>
                <w:szCs w:val="16"/>
                <w:lang w:val="es-ES" w:eastAsia="es-ES"/>
              </w:rPr>
              <w:t xml:space="preserve">Se establece la obligatoriedad de que asimismo, los locales específicos de apuestas y las zonas de apuestas cuenten con un servicio de control de admisión, que identifique y registre obligatoriamente a todas las personas que pretendan acceder, situado a la entrada de los mismos. </w:t>
            </w:r>
          </w:p>
          <w:p w:rsidR="004711AA" w:rsidRPr="00AF329A" w:rsidRDefault="004711AA" w:rsidP="00D279B4">
            <w:pPr>
              <w:spacing w:after="0" w:line="240" w:lineRule="auto"/>
              <w:jc w:val="both"/>
              <w:rPr>
                <w:rFonts w:ascii="Calibri" w:eastAsia="Times New Roman" w:hAnsi="Calibri" w:cs="Times New Roman"/>
                <w:color w:val="000000"/>
                <w:sz w:val="16"/>
                <w:szCs w:val="16"/>
                <w:lang w:val="es-ES" w:eastAsia="es-ES"/>
              </w:rPr>
            </w:pPr>
          </w:p>
          <w:p w:rsidR="00607BDD" w:rsidRPr="00AF329A" w:rsidRDefault="00607BDD" w:rsidP="00607BDD">
            <w:pPr>
              <w:spacing w:after="0" w:line="240" w:lineRule="auto"/>
              <w:jc w:val="both"/>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 xml:space="preserve">Establece distancias mínimas de ubicación de dichos locales de juego a </w:t>
            </w:r>
            <w:r w:rsidRPr="00AF329A">
              <w:rPr>
                <w:rFonts w:ascii="Calibri" w:eastAsia="Times New Roman" w:hAnsi="Calibri" w:cs="Times New Roman"/>
                <w:sz w:val="16"/>
                <w:szCs w:val="16"/>
                <w:lang w:val="es-ES" w:eastAsia="es-ES"/>
              </w:rPr>
              <w:t xml:space="preserve">centros de enseñanza no universitaria </w:t>
            </w:r>
            <w:r w:rsidRPr="00AF329A">
              <w:rPr>
                <w:rFonts w:ascii="Calibri" w:eastAsia="Times New Roman" w:hAnsi="Calibri" w:cs="Times New Roman"/>
                <w:color w:val="000000"/>
                <w:sz w:val="16"/>
                <w:szCs w:val="16"/>
                <w:lang w:val="es-ES" w:eastAsia="es-ES"/>
              </w:rPr>
              <w:t>para proporcionar una mayor protección a los menores</w:t>
            </w:r>
            <w:r w:rsidR="00237A33">
              <w:rPr>
                <w:rFonts w:ascii="Calibri" w:eastAsia="Times New Roman" w:hAnsi="Calibri" w:cs="Times New Roman"/>
                <w:color w:val="000000"/>
                <w:sz w:val="16"/>
                <w:szCs w:val="16"/>
                <w:lang w:val="es-ES" w:eastAsia="es-ES"/>
              </w:rPr>
              <w:t xml:space="preserve">. </w:t>
            </w:r>
          </w:p>
          <w:p w:rsidR="00607BDD" w:rsidRPr="00AF329A" w:rsidRDefault="00607BDD" w:rsidP="00607BDD">
            <w:pPr>
              <w:spacing w:after="0" w:line="240" w:lineRule="auto"/>
              <w:jc w:val="both"/>
              <w:rPr>
                <w:rFonts w:ascii="Calibri" w:eastAsia="Times New Roman" w:hAnsi="Calibri" w:cs="Times New Roman"/>
                <w:color w:val="000000"/>
                <w:sz w:val="16"/>
                <w:szCs w:val="16"/>
                <w:lang w:val="es-ES" w:eastAsia="es-ES"/>
              </w:rPr>
            </w:pPr>
          </w:p>
          <w:p w:rsidR="00CD7E7E" w:rsidRDefault="00607BDD" w:rsidP="00D279B4">
            <w:pPr>
              <w:spacing w:after="0" w:line="240" w:lineRule="auto"/>
              <w:jc w:val="both"/>
              <w:rPr>
                <w:rFonts w:ascii="Calibri" w:eastAsia="Times New Roman" w:hAnsi="Calibri" w:cs="Times New Roman"/>
                <w:color w:val="000000"/>
                <w:sz w:val="16"/>
                <w:szCs w:val="16"/>
                <w:lang w:val="es-ES" w:eastAsia="es-ES"/>
              </w:rPr>
            </w:pPr>
            <w:r w:rsidRPr="00607BDD">
              <w:rPr>
                <w:rFonts w:ascii="Calibri" w:eastAsia="Times New Roman" w:hAnsi="Calibri" w:cs="Times New Roman"/>
                <w:color w:val="000000"/>
                <w:sz w:val="16"/>
                <w:szCs w:val="16"/>
                <w:lang w:val="es-ES" w:eastAsia="es-ES"/>
              </w:rPr>
              <w:t>Se regula con mayor precisión el contenido de la regulación actual de la rotulación de los referidos locales de juego</w:t>
            </w:r>
            <w:r w:rsidR="00237A33">
              <w:rPr>
                <w:rFonts w:ascii="Calibri" w:eastAsia="Times New Roman" w:hAnsi="Calibri" w:cs="Times New Roman"/>
                <w:color w:val="000000"/>
                <w:sz w:val="16"/>
                <w:szCs w:val="16"/>
                <w:lang w:val="es-ES" w:eastAsia="es-ES"/>
              </w:rPr>
              <w:t>.</w:t>
            </w:r>
            <w:r w:rsidR="00D279B4" w:rsidRPr="00AF329A">
              <w:rPr>
                <w:rFonts w:ascii="Calibri" w:eastAsia="Times New Roman" w:hAnsi="Calibri" w:cs="Times New Roman"/>
                <w:color w:val="000000"/>
                <w:sz w:val="16"/>
                <w:szCs w:val="16"/>
                <w:lang w:val="es-ES" w:eastAsia="es-ES"/>
              </w:rPr>
              <w:t xml:space="preserve"> </w:t>
            </w:r>
          </w:p>
          <w:p w:rsidR="00237A33" w:rsidRPr="00AF329A" w:rsidRDefault="00237A33" w:rsidP="00D279B4">
            <w:pPr>
              <w:spacing w:after="0" w:line="240" w:lineRule="auto"/>
              <w:jc w:val="both"/>
              <w:rPr>
                <w:rFonts w:ascii="Calibri" w:eastAsia="Times New Roman" w:hAnsi="Calibri" w:cs="Times New Roman"/>
                <w:color w:val="000000"/>
                <w:sz w:val="16"/>
                <w:szCs w:val="16"/>
                <w:lang w:val="es-ES" w:eastAsia="es-ES"/>
              </w:rPr>
            </w:pPr>
          </w:p>
          <w:p w:rsidR="00237A33" w:rsidRPr="00237A33" w:rsidRDefault="00607BDD" w:rsidP="00237A33">
            <w:pPr>
              <w:spacing w:after="0" w:line="240" w:lineRule="auto"/>
              <w:jc w:val="both"/>
              <w:rPr>
                <w:rFonts w:ascii="Calibri" w:eastAsia="Times New Roman" w:hAnsi="Calibri" w:cs="Times New Roman"/>
                <w:sz w:val="16"/>
                <w:szCs w:val="16"/>
                <w:lang w:val="es-ES" w:eastAsia="es-ES"/>
              </w:rPr>
            </w:pPr>
            <w:r>
              <w:rPr>
                <w:rFonts w:ascii="Calibri" w:eastAsia="Times New Roman" w:hAnsi="Calibri" w:cs="Times New Roman"/>
                <w:sz w:val="16"/>
                <w:szCs w:val="16"/>
                <w:lang w:val="es-ES" w:eastAsia="es-ES"/>
              </w:rPr>
              <w:t>Se establece la</w:t>
            </w:r>
            <w:r w:rsidR="00483548" w:rsidRPr="00AF329A">
              <w:rPr>
                <w:rFonts w:ascii="Calibri" w:eastAsia="Times New Roman" w:hAnsi="Calibri" w:cs="Times New Roman"/>
                <w:sz w:val="16"/>
                <w:szCs w:val="16"/>
                <w:lang w:val="es-ES" w:eastAsia="es-ES"/>
              </w:rPr>
              <w:t xml:space="preserve"> no transmisibilidad de las autorizaciones de funcionamiento de salones de juego, </w:t>
            </w:r>
            <w:r>
              <w:rPr>
                <w:rFonts w:ascii="Calibri" w:eastAsia="Times New Roman" w:hAnsi="Calibri" w:cs="Times New Roman"/>
                <w:sz w:val="16"/>
                <w:szCs w:val="16"/>
                <w:lang w:val="es-ES" w:eastAsia="es-ES"/>
              </w:rPr>
              <w:t xml:space="preserve"> </w:t>
            </w:r>
            <w:r w:rsidR="00237A33" w:rsidRPr="00237A33">
              <w:rPr>
                <w:rFonts w:ascii="Calibri" w:eastAsia="Times New Roman" w:hAnsi="Calibri" w:cs="Times New Roman"/>
                <w:sz w:val="16"/>
                <w:szCs w:val="16"/>
                <w:lang w:val="es-ES" w:eastAsia="es-ES"/>
              </w:rPr>
              <w:t>excepcionándose únicamente las transmisiones “mortis causa”, siempre que el titular de la autorización sea una persona física.</w:t>
            </w:r>
          </w:p>
          <w:p w:rsidR="00607BDD" w:rsidRDefault="00607BDD" w:rsidP="00483548">
            <w:pPr>
              <w:spacing w:after="0" w:line="240" w:lineRule="auto"/>
              <w:jc w:val="both"/>
              <w:rPr>
                <w:rFonts w:ascii="Calibri" w:eastAsia="Times New Roman" w:hAnsi="Calibri" w:cs="Times New Roman"/>
                <w:sz w:val="16"/>
                <w:szCs w:val="16"/>
                <w:lang w:val="es-ES" w:eastAsia="es-ES"/>
              </w:rPr>
            </w:pPr>
          </w:p>
          <w:p w:rsidR="00607BDD" w:rsidRPr="00607BDD" w:rsidRDefault="00607BDD" w:rsidP="00607BDD">
            <w:pPr>
              <w:spacing w:after="0" w:line="240" w:lineRule="auto"/>
              <w:jc w:val="both"/>
              <w:rPr>
                <w:rFonts w:ascii="Calibri" w:eastAsia="Times New Roman" w:hAnsi="Calibri" w:cs="Times New Roman"/>
                <w:sz w:val="16"/>
                <w:szCs w:val="16"/>
                <w:lang w:val="es-ES" w:eastAsia="es-ES"/>
              </w:rPr>
            </w:pPr>
            <w:r w:rsidRPr="00607BDD">
              <w:rPr>
                <w:rFonts w:ascii="Calibri" w:eastAsia="Times New Roman" w:hAnsi="Calibri" w:cs="Times New Roman"/>
                <w:sz w:val="16"/>
                <w:szCs w:val="16"/>
                <w:lang w:val="es-ES" w:eastAsia="es-ES"/>
              </w:rPr>
              <w:t>Se elimina la exclusión del Reglamento de Máquinas Recreativas y de Juego a las máquinas con juegos infantiles o deportivos que conceden premios en especie.</w:t>
            </w:r>
          </w:p>
          <w:p w:rsidR="00607BDD" w:rsidRDefault="00607BDD" w:rsidP="00483548">
            <w:pPr>
              <w:spacing w:after="0" w:line="240" w:lineRule="auto"/>
              <w:jc w:val="both"/>
              <w:rPr>
                <w:rFonts w:ascii="Calibri" w:eastAsia="Times New Roman" w:hAnsi="Calibri" w:cs="Times New Roman"/>
                <w:sz w:val="16"/>
                <w:szCs w:val="16"/>
                <w:lang w:val="es-ES" w:eastAsia="es-ES"/>
              </w:rPr>
            </w:pPr>
          </w:p>
          <w:p w:rsidR="00237A33" w:rsidRPr="00AF329A" w:rsidRDefault="00237A33" w:rsidP="0068211D">
            <w:pPr>
              <w:jc w:val="both"/>
              <w:rPr>
                <w:rFonts w:ascii="Calibri" w:eastAsia="Times New Roman" w:hAnsi="Calibri" w:cs="Times New Roman"/>
                <w:color w:val="000000"/>
                <w:sz w:val="16"/>
                <w:szCs w:val="16"/>
                <w:lang w:val="es-ES" w:eastAsia="es-ES"/>
              </w:rPr>
            </w:pPr>
            <w:r w:rsidRPr="00237A33">
              <w:rPr>
                <w:rFonts w:ascii="Calibri" w:eastAsia="Times New Roman" w:hAnsi="Calibri" w:cs="Times New Roman"/>
                <w:sz w:val="16"/>
                <w:szCs w:val="16"/>
                <w:lang w:val="es-ES" w:eastAsia="es-ES"/>
              </w:rPr>
              <w:t xml:space="preserve">Se </w:t>
            </w:r>
            <w:r w:rsidR="0068211D">
              <w:rPr>
                <w:rFonts w:ascii="Calibri" w:eastAsia="Times New Roman" w:hAnsi="Calibri" w:cs="Times New Roman"/>
                <w:sz w:val="16"/>
                <w:szCs w:val="16"/>
                <w:lang w:val="es-ES" w:eastAsia="es-ES"/>
              </w:rPr>
              <w:t>establece</w:t>
            </w:r>
            <w:r w:rsidRPr="00237A33">
              <w:rPr>
                <w:rFonts w:ascii="Calibri" w:eastAsia="Times New Roman" w:hAnsi="Calibri" w:cs="Times New Roman"/>
                <w:sz w:val="16"/>
                <w:szCs w:val="16"/>
                <w:lang w:val="es-ES" w:eastAsia="es-ES"/>
              </w:rPr>
              <w:t xml:space="preserve"> que el Gobierno adoptará</w:t>
            </w:r>
            <w:r w:rsidR="0068211D">
              <w:rPr>
                <w:rFonts w:ascii="Calibri" w:eastAsia="Times New Roman" w:hAnsi="Calibri" w:cs="Times New Roman"/>
                <w:sz w:val="16"/>
                <w:szCs w:val="16"/>
                <w:lang w:val="es-ES" w:eastAsia="es-ES"/>
              </w:rPr>
              <w:t xml:space="preserve">, </w:t>
            </w:r>
            <w:r w:rsidR="0068211D" w:rsidRPr="003B2768">
              <w:t xml:space="preserve"> </w:t>
            </w:r>
            <w:r w:rsidR="0068211D" w:rsidRPr="0068211D">
              <w:rPr>
                <w:sz w:val="16"/>
                <w:szCs w:val="16"/>
              </w:rPr>
              <w:t>a través de los proyectos de Ley anuales de Presupuestos,</w:t>
            </w:r>
            <w:r w:rsidRPr="00237A33">
              <w:rPr>
                <w:rFonts w:ascii="Calibri" w:eastAsia="Times New Roman" w:hAnsi="Calibri" w:cs="Times New Roman"/>
                <w:sz w:val="16"/>
                <w:szCs w:val="16"/>
                <w:lang w:val="es-ES" w:eastAsia="es-ES"/>
              </w:rPr>
              <w:t xml:space="preserve"> las </w:t>
            </w:r>
            <w:r w:rsidR="0068211D">
              <w:rPr>
                <w:rFonts w:ascii="Calibri" w:eastAsia="Times New Roman" w:hAnsi="Calibri" w:cs="Times New Roman"/>
                <w:sz w:val="16"/>
                <w:szCs w:val="16"/>
                <w:lang w:val="es-ES" w:eastAsia="es-ES"/>
              </w:rPr>
              <w:t xml:space="preserve">medidas </w:t>
            </w:r>
            <w:r w:rsidRPr="00237A33">
              <w:rPr>
                <w:rFonts w:ascii="Calibri" w:eastAsia="Times New Roman" w:hAnsi="Calibri" w:cs="Times New Roman"/>
                <w:sz w:val="16"/>
                <w:szCs w:val="16"/>
                <w:lang w:val="es-ES" w:eastAsia="es-ES"/>
              </w:rPr>
              <w:t xml:space="preserve">necesarias a fin de destinar el 0,7 por ciento de la recaudación procedente de la Tasa Fiscal sobre el Juego a la financiación de políticas de prevención y tratamiento de la ludopatía. </w:t>
            </w:r>
          </w:p>
        </w:tc>
      </w:tr>
      <w:tr w:rsidR="00BC1316" w:rsidRPr="00AF329A" w:rsidTr="00EC5E9B">
        <w:trPr>
          <w:trHeight w:val="568"/>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BC1316" w:rsidRPr="00AF329A" w:rsidRDefault="00F22EF9"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OBJETIVOS QUE SE PERSIGUEN</w:t>
            </w:r>
          </w:p>
        </w:tc>
        <w:tc>
          <w:tcPr>
            <w:tcW w:w="83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1B25" w:rsidRPr="00AF329A" w:rsidRDefault="006A1B25" w:rsidP="00D279B4">
            <w:pPr>
              <w:spacing w:after="0" w:line="240" w:lineRule="auto"/>
              <w:jc w:val="both"/>
              <w:rPr>
                <w:rFonts w:ascii="Calibri" w:eastAsia="Times New Roman" w:hAnsi="Calibri" w:cs="Times New Roman"/>
                <w:color w:val="000000"/>
                <w:sz w:val="16"/>
                <w:szCs w:val="16"/>
                <w:lang w:val="es-ES" w:eastAsia="es-ES"/>
              </w:rPr>
            </w:pPr>
          </w:p>
          <w:p w:rsidR="00237A33" w:rsidRPr="00AF329A" w:rsidRDefault="00D279B4" w:rsidP="00237A33">
            <w:pPr>
              <w:spacing w:after="0" w:line="240" w:lineRule="auto"/>
              <w:jc w:val="both"/>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 xml:space="preserve">Se pretende conseguir el principio de tolerancia cero a la entrada de menores y personas vulnerables en </w:t>
            </w:r>
            <w:r w:rsidR="00237A33">
              <w:rPr>
                <w:rFonts w:ascii="Calibri" w:eastAsia="Times New Roman" w:hAnsi="Calibri" w:cs="Times New Roman"/>
                <w:color w:val="000000"/>
                <w:sz w:val="16"/>
                <w:szCs w:val="16"/>
                <w:lang w:val="es-ES" w:eastAsia="es-ES"/>
              </w:rPr>
              <w:t xml:space="preserve">salones de juegos y </w:t>
            </w:r>
            <w:r w:rsidRPr="00AF329A">
              <w:rPr>
                <w:rFonts w:ascii="Calibri" w:eastAsia="Times New Roman" w:hAnsi="Calibri" w:cs="Times New Roman"/>
                <w:color w:val="000000"/>
                <w:sz w:val="16"/>
                <w:szCs w:val="16"/>
                <w:lang w:val="es-ES" w:eastAsia="es-ES"/>
              </w:rPr>
              <w:t>locales</w:t>
            </w:r>
            <w:r w:rsidR="00237A33">
              <w:rPr>
                <w:rFonts w:ascii="Calibri" w:eastAsia="Times New Roman" w:hAnsi="Calibri" w:cs="Times New Roman"/>
                <w:color w:val="000000"/>
                <w:sz w:val="16"/>
                <w:szCs w:val="16"/>
                <w:lang w:val="es-ES" w:eastAsia="es-ES"/>
              </w:rPr>
              <w:t xml:space="preserve"> y zonas de</w:t>
            </w:r>
            <w:r w:rsidRPr="00AF329A">
              <w:rPr>
                <w:rFonts w:ascii="Calibri" w:eastAsia="Times New Roman" w:hAnsi="Calibri" w:cs="Times New Roman"/>
                <w:color w:val="000000"/>
                <w:sz w:val="16"/>
                <w:szCs w:val="16"/>
                <w:lang w:val="es-ES" w:eastAsia="es-ES"/>
              </w:rPr>
              <w:t xml:space="preserve"> apuestas, haciendo obligatorio que la totalidad de estos establecimientos cuenten con barreras físicas reales que impidan </w:t>
            </w:r>
            <w:r w:rsidR="00237A33" w:rsidRPr="00AF329A">
              <w:rPr>
                <w:rFonts w:ascii="Calibri" w:eastAsia="Times New Roman" w:hAnsi="Calibri" w:cs="Times New Roman"/>
                <w:color w:val="000000"/>
                <w:sz w:val="16"/>
                <w:szCs w:val="16"/>
                <w:lang w:val="es-ES" w:eastAsia="es-ES"/>
              </w:rPr>
              <w:t xml:space="preserve">de manera plena y eficaz </w:t>
            </w:r>
            <w:r w:rsidRPr="00AF329A">
              <w:rPr>
                <w:rFonts w:ascii="Calibri" w:eastAsia="Times New Roman" w:hAnsi="Calibri" w:cs="Times New Roman"/>
                <w:color w:val="000000"/>
                <w:sz w:val="16"/>
                <w:szCs w:val="16"/>
                <w:lang w:val="es-ES" w:eastAsia="es-ES"/>
              </w:rPr>
              <w:t>el acceso y admisión de persona</w:t>
            </w:r>
            <w:r w:rsidR="00A8089C" w:rsidRPr="00AF329A">
              <w:rPr>
                <w:rFonts w:ascii="Calibri" w:eastAsia="Times New Roman" w:hAnsi="Calibri" w:cs="Times New Roman"/>
                <w:color w:val="000000"/>
                <w:sz w:val="16"/>
                <w:szCs w:val="16"/>
                <w:lang w:val="es-ES" w:eastAsia="es-ES"/>
              </w:rPr>
              <w:t>s</w:t>
            </w:r>
            <w:r w:rsidRPr="00AF329A">
              <w:rPr>
                <w:rFonts w:ascii="Calibri" w:eastAsia="Times New Roman" w:hAnsi="Calibri" w:cs="Times New Roman"/>
                <w:color w:val="000000"/>
                <w:sz w:val="16"/>
                <w:szCs w:val="16"/>
                <w:lang w:val="es-ES" w:eastAsia="es-ES"/>
              </w:rPr>
              <w:t xml:space="preserve"> que no hayan entrado en la mayoría de edad y/o de personas inscritas en el </w:t>
            </w:r>
            <w:r w:rsidR="006A1B25" w:rsidRPr="00AF329A">
              <w:rPr>
                <w:rFonts w:ascii="Calibri" w:eastAsia="Times New Roman" w:hAnsi="Calibri" w:cs="Times New Roman"/>
                <w:color w:val="000000"/>
                <w:sz w:val="16"/>
                <w:szCs w:val="16"/>
                <w:lang w:val="es-ES" w:eastAsia="es-ES"/>
              </w:rPr>
              <w:t>Registro de Interdicciones de Acceso al Juego</w:t>
            </w:r>
            <w:r w:rsidR="00B46D56" w:rsidRPr="00AF329A">
              <w:rPr>
                <w:rFonts w:ascii="Calibri" w:eastAsia="Times New Roman" w:hAnsi="Calibri" w:cs="Times New Roman"/>
                <w:color w:val="000000"/>
                <w:sz w:val="16"/>
                <w:szCs w:val="16"/>
                <w:lang w:val="es-ES" w:eastAsia="es-ES"/>
              </w:rPr>
              <w:t xml:space="preserve">, </w:t>
            </w:r>
            <w:r w:rsidR="00237A33" w:rsidRPr="00AF329A">
              <w:rPr>
                <w:rFonts w:ascii="Calibri" w:eastAsia="Times New Roman" w:hAnsi="Calibri" w:cs="Times New Roman"/>
                <w:color w:val="000000"/>
                <w:sz w:val="16"/>
                <w:szCs w:val="16"/>
                <w:lang w:val="es-ES" w:eastAsia="es-ES"/>
              </w:rPr>
              <w:t>operando preventivamente en relación con las conductas que puedan predisponer a tomar parte en actividades de juego presencial, dando continuidad  a las acciones ya desplegadas.</w:t>
            </w:r>
          </w:p>
          <w:p w:rsidR="00237A33" w:rsidRDefault="00237A33" w:rsidP="0067774F">
            <w:pPr>
              <w:spacing w:after="0" w:line="240" w:lineRule="auto"/>
              <w:jc w:val="both"/>
              <w:rPr>
                <w:rFonts w:ascii="Calibri" w:eastAsia="Times New Roman" w:hAnsi="Calibri" w:cs="Times New Roman"/>
                <w:color w:val="000000"/>
                <w:sz w:val="16"/>
                <w:szCs w:val="16"/>
                <w:lang w:val="es-ES" w:eastAsia="es-ES"/>
              </w:rPr>
            </w:pPr>
          </w:p>
          <w:p w:rsidR="00237A33" w:rsidRDefault="00237A33" w:rsidP="00237A33">
            <w:pPr>
              <w:spacing w:after="0" w:line="240" w:lineRule="auto"/>
              <w:jc w:val="both"/>
              <w:rPr>
                <w:rFonts w:ascii="Calibri" w:eastAsia="Times New Roman" w:hAnsi="Calibri" w:cs="Times New Roman"/>
                <w:sz w:val="16"/>
                <w:szCs w:val="16"/>
                <w:lang w:val="es-ES" w:eastAsia="es-ES"/>
              </w:rPr>
            </w:pPr>
            <w:r w:rsidRPr="00AF329A">
              <w:rPr>
                <w:rFonts w:ascii="Calibri" w:eastAsia="Times New Roman" w:hAnsi="Calibri" w:cs="Times New Roman"/>
                <w:sz w:val="16"/>
                <w:szCs w:val="16"/>
                <w:lang w:val="es-ES" w:eastAsia="es-ES"/>
              </w:rPr>
              <w:t>En cuanto al establecimiento de distancias mínimas de salones de juego y locales de apuestas a centros de enseñanza no universitaria, se pretende evitar su excesiva cercanía de estos espacios frecuentados por menores de edad, para proporcionar mayor protección a la infancia, adolescencia y juventud.</w:t>
            </w:r>
          </w:p>
          <w:p w:rsidR="00237A33" w:rsidRPr="00AF329A" w:rsidRDefault="00237A33" w:rsidP="00237A33">
            <w:pPr>
              <w:spacing w:after="0" w:line="240" w:lineRule="auto"/>
              <w:jc w:val="both"/>
              <w:rPr>
                <w:rFonts w:ascii="Calibri" w:eastAsia="Times New Roman" w:hAnsi="Calibri" w:cs="Times New Roman"/>
                <w:sz w:val="16"/>
                <w:szCs w:val="16"/>
                <w:lang w:val="es-ES" w:eastAsia="es-ES"/>
              </w:rPr>
            </w:pPr>
          </w:p>
          <w:p w:rsidR="00BC1316" w:rsidRPr="00AF329A" w:rsidRDefault="00D279B4" w:rsidP="00D279B4">
            <w:pPr>
              <w:spacing w:after="0" w:line="240" w:lineRule="auto"/>
              <w:jc w:val="both"/>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 xml:space="preserve">En cuanto a la rotulación de las fachadas de los </w:t>
            </w:r>
            <w:r w:rsidR="003C69B5" w:rsidRPr="00AF329A">
              <w:rPr>
                <w:rFonts w:ascii="Calibri" w:eastAsia="Times New Roman" w:hAnsi="Calibri" w:cs="Times New Roman"/>
                <w:color w:val="000000"/>
                <w:sz w:val="16"/>
                <w:szCs w:val="16"/>
                <w:lang w:val="es-ES" w:eastAsia="es-ES"/>
              </w:rPr>
              <w:t>citados locales</w:t>
            </w:r>
            <w:r w:rsidRPr="00AF329A">
              <w:rPr>
                <w:rFonts w:ascii="Calibri" w:eastAsia="Times New Roman" w:hAnsi="Calibri" w:cs="Times New Roman"/>
                <w:color w:val="000000"/>
                <w:sz w:val="16"/>
                <w:szCs w:val="16"/>
                <w:lang w:val="es-ES" w:eastAsia="es-ES"/>
              </w:rPr>
              <w:t xml:space="preserve"> de juego se pretende impedir las rotulaciones engañosas </w:t>
            </w:r>
            <w:r w:rsidR="006A1B25" w:rsidRPr="00AF329A">
              <w:rPr>
                <w:rFonts w:ascii="Calibri" w:eastAsia="Times New Roman" w:hAnsi="Calibri" w:cs="Times New Roman"/>
                <w:color w:val="000000"/>
                <w:sz w:val="16"/>
                <w:szCs w:val="16"/>
                <w:lang w:val="es-ES" w:eastAsia="es-ES"/>
              </w:rPr>
              <w:t xml:space="preserve">o confusas </w:t>
            </w:r>
            <w:r w:rsidRPr="00AF329A">
              <w:rPr>
                <w:rFonts w:ascii="Calibri" w:eastAsia="Times New Roman" w:hAnsi="Calibri" w:cs="Times New Roman"/>
                <w:color w:val="000000"/>
                <w:sz w:val="16"/>
                <w:szCs w:val="16"/>
                <w:lang w:val="es-ES" w:eastAsia="es-ES"/>
              </w:rPr>
              <w:t>que puedan inducir a error a los posibles usuarios sobre el tipo de local de que se trata y los juegos que en ellos se pueden practicar.</w:t>
            </w:r>
          </w:p>
          <w:p w:rsidR="00483548" w:rsidRPr="00AF329A" w:rsidRDefault="00483548" w:rsidP="00483548">
            <w:pPr>
              <w:spacing w:after="0" w:line="240" w:lineRule="auto"/>
              <w:jc w:val="both"/>
              <w:rPr>
                <w:rFonts w:ascii="Calibri" w:eastAsia="Times New Roman" w:hAnsi="Calibri" w:cs="Times New Roman"/>
                <w:color w:val="FF0000"/>
                <w:sz w:val="16"/>
                <w:szCs w:val="16"/>
                <w:lang w:val="es-ES" w:eastAsia="es-ES"/>
              </w:rPr>
            </w:pPr>
          </w:p>
          <w:p w:rsidR="00237A33" w:rsidRDefault="00237A33" w:rsidP="00483548">
            <w:pPr>
              <w:spacing w:after="0" w:line="240" w:lineRule="auto"/>
              <w:jc w:val="both"/>
              <w:rPr>
                <w:rFonts w:ascii="Calibri" w:eastAsia="Times New Roman" w:hAnsi="Calibri" w:cs="Times New Roman"/>
                <w:sz w:val="16"/>
                <w:szCs w:val="16"/>
                <w:lang w:val="es-ES" w:eastAsia="es-ES"/>
              </w:rPr>
            </w:pPr>
            <w:r>
              <w:rPr>
                <w:rFonts w:ascii="Calibri" w:eastAsia="Times New Roman" w:hAnsi="Calibri" w:cs="Times New Roman"/>
                <w:sz w:val="16"/>
                <w:szCs w:val="16"/>
                <w:lang w:val="es-ES" w:eastAsia="es-ES"/>
              </w:rPr>
              <w:t>Se establece</w:t>
            </w:r>
            <w:r w:rsidRPr="00AF329A">
              <w:rPr>
                <w:rFonts w:ascii="Calibri" w:eastAsia="Times New Roman" w:hAnsi="Calibri" w:cs="Times New Roman"/>
                <w:sz w:val="16"/>
                <w:szCs w:val="16"/>
                <w:lang w:val="es-ES" w:eastAsia="es-ES"/>
              </w:rPr>
              <w:t xml:space="preserve"> la no transmisibilidad de las autorizaciones de funcionamiento de salones de juego, en consonancia con la regla general establecida en la Ley 6/2001, de Juego en la C</w:t>
            </w:r>
            <w:r>
              <w:rPr>
                <w:rFonts w:ascii="Calibri" w:eastAsia="Times New Roman" w:hAnsi="Calibri" w:cs="Times New Roman"/>
                <w:sz w:val="16"/>
                <w:szCs w:val="16"/>
                <w:lang w:val="es-ES" w:eastAsia="es-ES"/>
              </w:rPr>
              <w:t xml:space="preserve">omunidad de Madrid, </w:t>
            </w:r>
            <w:r w:rsidRPr="00AF329A">
              <w:rPr>
                <w:rFonts w:ascii="Calibri" w:eastAsia="Times New Roman" w:hAnsi="Calibri" w:cs="Times New Roman"/>
                <w:sz w:val="16"/>
                <w:szCs w:val="16"/>
                <w:lang w:val="es-ES" w:eastAsia="es-ES"/>
              </w:rPr>
              <w:t xml:space="preserve"> que prohíbe la cesión de las autorizaciones de juego</w:t>
            </w:r>
            <w:r>
              <w:rPr>
                <w:rFonts w:ascii="Calibri" w:eastAsia="Times New Roman" w:hAnsi="Calibri" w:cs="Times New Roman"/>
                <w:sz w:val="16"/>
                <w:szCs w:val="16"/>
                <w:lang w:val="es-ES" w:eastAsia="es-ES"/>
              </w:rPr>
              <w:t>.</w:t>
            </w:r>
          </w:p>
          <w:p w:rsidR="00237A33" w:rsidRDefault="00237A33" w:rsidP="00483548">
            <w:pPr>
              <w:spacing w:after="0" w:line="240" w:lineRule="auto"/>
              <w:jc w:val="both"/>
              <w:rPr>
                <w:rFonts w:ascii="Calibri" w:eastAsia="Times New Roman" w:hAnsi="Calibri" w:cs="Times New Roman"/>
                <w:sz w:val="16"/>
                <w:szCs w:val="16"/>
                <w:lang w:val="es-ES" w:eastAsia="es-ES"/>
              </w:rPr>
            </w:pPr>
          </w:p>
          <w:p w:rsidR="00205CA6" w:rsidRDefault="00205CA6" w:rsidP="00205CA6">
            <w:pPr>
              <w:spacing w:after="0" w:line="240" w:lineRule="auto"/>
              <w:jc w:val="both"/>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C</w:t>
            </w:r>
            <w:r w:rsidRPr="00205CA6">
              <w:rPr>
                <w:rFonts w:ascii="Calibri" w:eastAsia="Times New Roman" w:hAnsi="Calibri" w:cs="Times New Roman"/>
                <w:color w:val="000000"/>
                <w:sz w:val="16"/>
                <w:szCs w:val="16"/>
                <w:lang w:val="es-ES" w:eastAsia="es-ES"/>
              </w:rPr>
              <w:t xml:space="preserve">on igual objetivo de protección a los menores de edad, se elimina la exclusión del ámbito de aplicación del Reglamento de Máquinas Recreativas y de Juego de la Comunidad de Madrid </w:t>
            </w:r>
            <w:r>
              <w:rPr>
                <w:rFonts w:ascii="Calibri" w:eastAsia="Times New Roman" w:hAnsi="Calibri" w:cs="Times New Roman"/>
                <w:color w:val="000000"/>
                <w:sz w:val="16"/>
                <w:szCs w:val="16"/>
                <w:lang w:val="es-ES" w:eastAsia="es-ES"/>
              </w:rPr>
              <w:t>a</w:t>
            </w:r>
            <w:r w:rsidRPr="00205CA6">
              <w:rPr>
                <w:rFonts w:ascii="Calibri" w:eastAsia="Times New Roman" w:hAnsi="Calibri" w:cs="Times New Roman"/>
                <w:color w:val="000000"/>
                <w:sz w:val="16"/>
                <w:szCs w:val="16"/>
                <w:lang w:val="es-ES" w:eastAsia="es-ES"/>
              </w:rPr>
              <w:t xml:space="preserve"> las máquinas con juegos infantiles o deportivos que dan premios en especie.  </w:t>
            </w:r>
          </w:p>
          <w:p w:rsidR="00205CA6" w:rsidRPr="00205CA6" w:rsidRDefault="00205CA6" w:rsidP="00205CA6">
            <w:pPr>
              <w:spacing w:after="0" w:line="240" w:lineRule="auto"/>
              <w:jc w:val="both"/>
              <w:rPr>
                <w:rFonts w:ascii="Calibri" w:eastAsia="Times New Roman" w:hAnsi="Calibri" w:cs="Times New Roman"/>
                <w:color w:val="000000"/>
                <w:sz w:val="16"/>
                <w:szCs w:val="16"/>
                <w:lang w:val="es-ES" w:eastAsia="es-ES"/>
              </w:rPr>
            </w:pPr>
          </w:p>
          <w:p w:rsidR="0068211D" w:rsidRDefault="00205CA6" w:rsidP="00205CA6">
            <w:pPr>
              <w:spacing w:after="0" w:line="240" w:lineRule="auto"/>
              <w:jc w:val="both"/>
              <w:rPr>
                <w:rFonts w:ascii="Calibri" w:eastAsia="Times New Roman" w:hAnsi="Calibri" w:cs="Times New Roman"/>
                <w:color w:val="000000"/>
                <w:sz w:val="16"/>
                <w:szCs w:val="16"/>
                <w:lang w:val="es-ES" w:eastAsia="es-ES"/>
              </w:rPr>
            </w:pPr>
            <w:r w:rsidRPr="00205CA6">
              <w:rPr>
                <w:rFonts w:ascii="Calibri" w:eastAsia="Times New Roman" w:hAnsi="Calibri" w:cs="Times New Roman"/>
                <w:color w:val="000000"/>
                <w:sz w:val="16"/>
                <w:szCs w:val="16"/>
                <w:lang w:val="es-ES" w:eastAsia="es-ES"/>
              </w:rPr>
              <w:t xml:space="preserve">Por último, con el objetivo de fomentar las políticas de disuasión de conductas que puedan derivar en patologías ligadas al consumo de la actividad del juego, se establece que el Gobierno </w:t>
            </w:r>
            <w:r w:rsidR="0068211D" w:rsidRPr="00237A33">
              <w:rPr>
                <w:rFonts w:ascii="Calibri" w:eastAsia="Times New Roman" w:hAnsi="Calibri" w:cs="Times New Roman"/>
                <w:sz w:val="16"/>
                <w:szCs w:val="16"/>
                <w:lang w:val="es-ES" w:eastAsia="es-ES"/>
              </w:rPr>
              <w:t>adoptará</w:t>
            </w:r>
            <w:r w:rsidR="0068211D">
              <w:rPr>
                <w:rFonts w:ascii="Calibri" w:eastAsia="Times New Roman" w:hAnsi="Calibri" w:cs="Times New Roman"/>
                <w:sz w:val="16"/>
                <w:szCs w:val="16"/>
                <w:lang w:val="es-ES" w:eastAsia="es-ES"/>
              </w:rPr>
              <w:t xml:space="preserve">, </w:t>
            </w:r>
            <w:r w:rsidR="0068211D" w:rsidRPr="0068211D">
              <w:rPr>
                <w:sz w:val="16"/>
                <w:szCs w:val="16"/>
              </w:rPr>
              <w:t>a través de los proyectos de Ley anuales de Presupuestos,</w:t>
            </w:r>
            <w:r w:rsidR="0068211D" w:rsidRPr="00237A33">
              <w:rPr>
                <w:rFonts w:ascii="Calibri" w:eastAsia="Times New Roman" w:hAnsi="Calibri" w:cs="Times New Roman"/>
                <w:sz w:val="16"/>
                <w:szCs w:val="16"/>
                <w:lang w:val="es-ES" w:eastAsia="es-ES"/>
              </w:rPr>
              <w:t xml:space="preserve"> las </w:t>
            </w:r>
            <w:r w:rsidR="0068211D">
              <w:rPr>
                <w:rFonts w:ascii="Calibri" w:eastAsia="Times New Roman" w:hAnsi="Calibri" w:cs="Times New Roman"/>
                <w:sz w:val="16"/>
                <w:szCs w:val="16"/>
                <w:lang w:val="es-ES" w:eastAsia="es-ES"/>
              </w:rPr>
              <w:t xml:space="preserve">medidas </w:t>
            </w:r>
            <w:r w:rsidR="0068211D" w:rsidRPr="00237A33">
              <w:rPr>
                <w:rFonts w:ascii="Calibri" w:eastAsia="Times New Roman" w:hAnsi="Calibri" w:cs="Times New Roman"/>
                <w:sz w:val="16"/>
                <w:szCs w:val="16"/>
                <w:lang w:val="es-ES" w:eastAsia="es-ES"/>
              </w:rPr>
              <w:t>necesarias a fin de destinar el 0,7 por ciento de la recaudación procedente de la Tasa Fiscal sobre el Juego a la financiación de políticas de prevención y tratamiento de la ludopatía.</w:t>
            </w:r>
          </w:p>
          <w:p w:rsidR="0068211D" w:rsidRDefault="0068211D" w:rsidP="00205CA6">
            <w:pPr>
              <w:spacing w:after="0" w:line="240" w:lineRule="auto"/>
              <w:jc w:val="both"/>
              <w:rPr>
                <w:rFonts w:ascii="Calibri" w:eastAsia="Times New Roman" w:hAnsi="Calibri" w:cs="Times New Roman"/>
                <w:color w:val="000000"/>
                <w:sz w:val="16"/>
                <w:szCs w:val="16"/>
                <w:lang w:val="es-ES" w:eastAsia="es-ES"/>
              </w:rPr>
            </w:pPr>
          </w:p>
          <w:p w:rsidR="00237A33" w:rsidRPr="00AF329A" w:rsidRDefault="00237A33" w:rsidP="0068211D">
            <w:pPr>
              <w:spacing w:after="0" w:line="240" w:lineRule="auto"/>
              <w:jc w:val="both"/>
              <w:rPr>
                <w:rFonts w:ascii="Calibri" w:eastAsia="Times New Roman" w:hAnsi="Calibri" w:cs="Times New Roman"/>
                <w:color w:val="000000"/>
                <w:sz w:val="16"/>
                <w:szCs w:val="16"/>
                <w:lang w:val="es-ES" w:eastAsia="es-ES"/>
              </w:rPr>
            </w:pPr>
          </w:p>
        </w:tc>
      </w:tr>
      <w:tr w:rsidR="00BC1316" w:rsidRPr="00AF329A" w:rsidTr="00EC5E9B">
        <w:trPr>
          <w:trHeight w:val="1018"/>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BC1316" w:rsidRPr="00AF329A" w:rsidRDefault="00BC1316" w:rsidP="00E2646D">
            <w:pPr>
              <w:spacing w:after="0" w:line="240" w:lineRule="auto"/>
              <w:rPr>
                <w:rFonts w:ascii="Calibri" w:eastAsia="Times New Roman" w:hAnsi="Calibri" w:cs="Times New Roman"/>
                <w:b/>
                <w:color w:val="000000"/>
                <w:sz w:val="16"/>
                <w:szCs w:val="16"/>
                <w:lang w:val="es-ES" w:eastAsia="es-ES"/>
              </w:rPr>
            </w:pPr>
          </w:p>
          <w:p w:rsidR="00BC1316" w:rsidRPr="00AF329A" w:rsidRDefault="00F22EF9"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PRINCIPALES ALTERNATIVAS CONSIDERADAS</w:t>
            </w:r>
          </w:p>
          <w:p w:rsidR="00BC1316" w:rsidRPr="00AF329A" w:rsidRDefault="00BC1316" w:rsidP="00E2646D">
            <w:pPr>
              <w:spacing w:after="0" w:line="240" w:lineRule="auto"/>
              <w:rPr>
                <w:rFonts w:ascii="Calibri" w:eastAsia="Times New Roman" w:hAnsi="Calibri" w:cs="Times New Roman"/>
                <w:b/>
                <w:color w:val="000000"/>
                <w:sz w:val="16"/>
                <w:szCs w:val="16"/>
                <w:lang w:val="es-ES" w:eastAsia="es-ES"/>
              </w:rPr>
            </w:pPr>
          </w:p>
        </w:tc>
        <w:tc>
          <w:tcPr>
            <w:tcW w:w="83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1316" w:rsidRPr="00AF329A" w:rsidRDefault="00D279B4" w:rsidP="00D558D8">
            <w:pPr>
              <w:spacing w:after="0" w:line="240" w:lineRule="auto"/>
              <w:jc w:val="both"/>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No existen alternativas</w:t>
            </w:r>
            <w:r w:rsidR="004711AA" w:rsidRPr="00AF329A">
              <w:rPr>
                <w:rFonts w:ascii="Calibri" w:eastAsia="Times New Roman" w:hAnsi="Calibri" w:cs="Times New Roman"/>
                <w:color w:val="000000"/>
                <w:sz w:val="16"/>
                <w:szCs w:val="16"/>
                <w:lang w:val="es-ES" w:eastAsia="es-ES"/>
              </w:rPr>
              <w:t xml:space="preserve"> a la modificación normativa</w:t>
            </w:r>
            <w:r w:rsidR="00D558D8" w:rsidRPr="00AF329A">
              <w:rPr>
                <w:rFonts w:ascii="Calibri" w:eastAsia="Times New Roman" w:hAnsi="Calibri" w:cs="Times New Roman"/>
                <w:color w:val="000000"/>
                <w:sz w:val="16"/>
                <w:szCs w:val="16"/>
                <w:lang w:val="es-ES" w:eastAsia="es-ES"/>
              </w:rPr>
              <w:t xml:space="preserve"> de menor impacto, para conseguir de forma eficaz los objetivos perseguidos.</w:t>
            </w:r>
          </w:p>
        </w:tc>
      </w:tr>
      <w:tr w:rsidR="00BC1316" w:rsidRPr="00AF329A" w:rsidTr="00EC5E9B">
        <w:trPr>
          <w:trHeight w:val="358"/>
          <w:jc w:val="center"/>
        </w:trPr>
        <w:tc>
          <w:tcPr>
            <w:tcW w:w="9936"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BC1316" w:rsidRPr="00AF329A" w:rsidRDefault="00BC1316" w:rsidP="00E2646D">
            <w:pPr>
              <w:spacing w:after="0" w:line="240" w:lineRule="auto"/>
              <w:jc w:val="center"/>
              <w:rPr>
                <w:rFonts w:ascii="Calibri" w:eastAsia="Times New Roman" w:hAnsi="Calibri" w:cs="Times New Roman"/>
                <w:color w:val="000000"/>
                <w:sz w:val="16"/>
                <w:szCs w:val="16"/>
                <w:lang w:val="es-ES" w:eastAsia="es-ES"/>
              </w:rPr>
            </w:pPr>
            <w:r w:rsidRPr="00AF329A">
              <w:rPr>
                <w:rFonts w:ascii="Calibri" w:eastAsia="Times New Roman" w:hAnsi="Calibri" w:cs="Times New Roman"/>
                <w:b/>
                <w:color w:val="000000"/>
                <w:sz w:val="16"/>
                <w:szCs w:val="16"/>
                <w:lang w:val="es-ES" w:eastAsia="es-ES"/>
              </w:rPr>
              <w:t>CONTENIDO Y ANÁLISIS JURÍDICO</w:t>
            </w:r>
          </w:p>
        </w:tc>
      </w:tr>
      <w:tr w:rsidR="00BC1316" w:rsidRPr="00AF329A" w:rsidTr="00EC5E9B">
        <w:trPr>
          <w:trHeight w:val="358"/>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BC1316" w:rsidRPr="00AF329A" w:rsidRDefault="00F22EF9"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b/>
                <w:color w:val="000000"/>
                <w:sz w:val="16"/>
                <w:szCs w:val="16"/>
                <w:lang w:val="es-ES" w:eastAsia="es-ES"/>
              </w:rPr>
              <w:t>TIPO DE NORMA</w:t>
            </w:r>
          </w:p>
        </w:tc>
        <w:tc>
          <w:tcPr>
            <w:tcW w:w="83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1316" w:rsidRPr="00AF329A" w:rsidRDefault="00D279B4" w:rsidP="00D279B4">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Decreto</w:t>
            </w:r>
          </w:p>
        </w:tc>
      </w:tr>
      <w:tr w:rsidR="00BC1316" w:rsidRPr="00AF329A" w:rsidTr="00EC5E9B">
        <w:trPr>
          <w:trHeight w:val="358"/>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BC1316" w:rsidRPr="00AF329A" w:rsidRDefault="00BC1316" w:rsidP="00E2646D">
            <w:pPr>
              <w:spacing w:after="0" w:line="240" w:lineRule="auto"/>
              <w:rPr>
                <w:rFonts w:ascii="Calibri" w:eastAsia="Times New Roman" w:hAnsi="Calibri" w:cs="Times New Roman"/>
                <w:b/>
                <w:color w:val="000000"/>
                <w:sz w:val="16"/>
                <w:szCs w:val="16"/>
                <w:lang w:val="es-ES" w:eastAsia="es-ES"/>
              </w:rPr>
            </w:pPr>
          </w:p>
          <w:p w:rsidR="00BC1316" w:rsidRPr="00AF329A" w:rsidRDefault="00F22EF9"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ESTRUCTURA DE LA NORMA</w:t>
            </w:r>
          </w:p>
          <w:p w:rsidR="00BC1316" w:rsidRPr="00AF329A" w:rsidRDefault="00BC1316" w:rsidP="00E2646D">
            <w:pPr>
              <w:spacing w:after="0" w:line="240" w:lineRule="auto"/>
              <w:rPr>
                <w:rFonts w:ascii="Calibri" w:eastAsia="Times New Roman" w:hAnsi="Calibri" w:cs="Times New Roman"/>
                <w:b/>
                <w:color w:val="000000"/>
                <w:sz w:val="16"/>
                <w:szCs w:val="16"/>
                <w:lang w:val="es-ES" w:eastAsia="es-ES"/>
              </w:rPr>
            </w:pPr>
          </w:p>
        </w:tc>
        <w:tc>
          <w:tcPr>
            <w:tcW w:w="83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1316" w:rsidRPr="00AF329A" w:rsidRDefault="00D279B4" w:rsidP="00483548">
            <w:pPr>
              <w:spacing w:after="0" w:line="240" w:lineRule="auto"/>
              <w:jc w:val="both"/>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 xml:space="preserve">El Proyecto de Decreto contiene una parte expositiva: Preámbulo, y una parte </w:t>
            </w:r>
            <w:r w:rsidR="001C5574" w:rsidRPr="00AF329A">
              <w:rPr>
                <w:rFonts w:ascii="Calibri" w:eastAsia="Times New Roman" w:hAnsi="Calibri" w:cs="Times New Roman"/>
                <w:color w:val="000000"/>
                <w:sz w:val="16"/>
                <w:szCs w:val="16"/>
                <w:lang w:val="es-ES" w:eastAsia="es-ES"/>
              </w:rPr>
              <w:t>dispositiva</w:t>
            </w:r>
            <w:r w:rsidRPr="00AF329A">
              <w:rPr>
                <w:rFonts w:ascii="Calibri" w:eastAsia="Times New Roman" w:hAnsi="Calibri" w:cs="Times New Roman"/>
                <w:color w:val="000000"/>
                <w:sz w:val="16"/>
                <w:szCs w:val="16"/>
                <w:lang w:val="es-ES" w:eastAsia="es-ES"/>
              </w:rPr>
              <w:t xml:space="preserve"> que consta</w:t>
            </w:r>
            <w:r w:rsidR="001C5574" w:rsidRPr="00AF329A">
              <w:rPr>
                <w:rFonts w:ascii="Calibri" w:eastAsia="Times New Roman" w:hAnsi="Calibri" w:cs="Times New Roman"/>
                <w:color w:val="000000"/>
                <w:sz w:val="16"/>
                <w:szCs w:val="16"/>
                <w:lang w:val="es-ES" w:eastAsia="es-ES"/>
              </w:rPr>
              <w:t xml:space="preserve"> </w:t>
            </w:r>
            <w:r w:rsidRPr="00AF329A">
              <w:rPr>
                <w:rFonts w:ascii="Calibri" w:eastAsia="Times New Roman" w:hAnsi="Calibri" w:cs="Times New Roman"/>
                <w:color w:val="000000"/>
                <w:sz w:val="16"/>
                <w:szCs w:val="16"/>
                <w:lang w:val="es-ES" w:eastAsia="es-ES"/>
              </w:rPr>
              <w:t>de dos artículos</w:t>
            </w:r>
            <w:r w:rsidRPr="00AF329A">
              <w:rPr>
                <w:rFonts w:ascii="Calibri" w:eastAsia="Times New Roman" w:hAnsi="Calibri" w:cs="Times New Roman"/>
                <w:sz w:val="16"/>
                <w:szCs w:val="16"/>
                <w:lang w:val="es-ES" w:eastAsia="es-ES"/>
              </w:rPr>
              <w:t xml:space="preserve">, </w:t>
            </w:r>
            <w:r w:rsidR="00483548" w:rsidRPr="00AF329A">
              <w:rPr>
                <w:rFonts w:ascii="Calibri" w:eastAsia="Times New Roman" w:hAnsi="Calibri" w:cs="Times New Roman"/>
                <w:sz w:val="16"/>
                <w:szCs w:val="16"/>
                <w:lang w:val="es-ES" w:eastAsia="es-ES"/>
              </w:rPr>
              <w:t xml:space="preserve"> una Disposición Adicional, tres Disposicio</w:t>
            </w:r>
            <w:r w:rsidRPr="00AF329A">
              <w:rPr>
                <w:rFonts w:ascii="Calibri" w:eastAsia="Times New Roman" w:hAnsi="Calibri" w:cs="Times New Roman"/>
                <w:sz w:val="16"/>
                <w:szCs w:val="16"/>
                <w:lang w:val="es-ES" w:eastAsia="es-ES"/>
              </w:rPr>
              <w:t>n</w:t>
            </w:r>
            <w:r w:rsidR="00483548" w:rsidRPr="00AF329A">
              <w:rPr>
                <w:rFonts w:ascii="Calibri" w:eastAsia="Times New Roman" w:hAnsi="Calibri" w:cs="Times New Roman"/>
                <w:sz w:val="16"/>
                <w:szCs w:val="16"/>
                <w:lang w:val="es-ES" w:eastAsia="es-ES"/>
              </w:rPr>
              <w:t>es</w:t>
            </w:r>
            <w:r w:rsidRPr="00AF329A">
              <w:rPr>
                <w:rFonts w:ascii="Calibri" w:eastAsia="Times New Roman" w:hAnsi="Calibri" w:cs="Times New Roman"/>
                <w:sz w:val="16"/>
                <w:szCs w:val="16"/>
                <w:lang w:val="es-ES" w:eastAsia="es-ES"/>
              </w:rPr>
              <w:t xml:space="preserve"> </w:t>
            </w:r>
            <w:r w:rsidR="004711AA" w:rsidRPr="00AF329A">
              <w:rPr>
                <w:rFonts w:ascii="Calibri" w:eastAsia="Times New Roman" w:hAnsi="Calibri" w:cs="Times New Roman"/>
                <w:sz w:val="16"/>
                <w:szCs w:val="16"/>
                <w:lang w:val="es-ES" w:eastAsia="es-ES"/>
              </w:rPr>
              <w:t>T</w:t>
            </w:r>
            <w:r w:rsidR="001C5574" w:rsidRPr="00AF329A">
              <w:rPr>
                <w:rFonts w:ascii="Calibri" w:eastAsia="Times New Roman" w:hAnsi="Calibri" w:cs="Times New Roman"/>
                <w:sz w:val="16"/>
                <w:szCs w:val="16"/>
                <w:lang w:val="es-ES" w:eastAsia="es-ES"/>
              </w:rPr>
              <w:t>ransitoria</w:t>
            </w:r>
            <w:r w:rsidR="00483548" w:rsidRPr="00AF329A">
              <w:rPr>
                <w:rFonts w:ascii="Calibri" w:eastAsia="Times New Roman" w:hAnsi="Calibri" w:cs="Times New Roman"/>
                <w:sz w:val="16"/>
                <w:szCs w:val="16"/>
                <w:lang w:val="es-ES" w:eastAsia="es-ES"/>
              </w:rPr>
              <w:t>s</w:t>
            </w:r>
            <w:r w:rsidRPr="00AF329A">
              <w:rPr>
                <w:rFonts w:ascii="Calibri" w:eastAsia="Times New Roman" w:hAnsi="Calibri" w:cs="Times New Roman"/>
                <w:sz w:val="16"/>
                <w:szCs w:val="16"/>
                <w:lang w:val="es-ES" w:eastAsia="es-ES"/>
              </w:rPr>
              <w:t xml:space="preserve">, </w:t>
            </w:r>
            <w:r w:rsidRPr="00AF329A">
              <w:rPr>
                <w:rFonts w:ascii="Calibri" w:eastAsia="Times New Roman" w:hAnsi="Calibri" w:cs="Times New Roman"/>
                <w:color w:val="000000"/>
                <w:sz w:val="16"/>
                <w:szCs w:val="16"/>
                <w:lang w:val="es-ES" w:eastAsia="es-ES"/>
              </w:rPr>
              <w:t xml:space="preserve">una </w:t>
            </w:r>
            <w:r w:rsidR="004711AA" w:rsidRPr="00AF329A">
              <w:rPr>
                <w:rFonts w:ascii="Calibri" w:eastAsia="Times New Roman" w:hAnsi="Calibri" w:cs="Times New Roman"/>
                <w:color w:val="000000"/>
                <w:sz w:val="16"/>
                <w:szCs w:val="16"/>
                <w:lang w:val="es-ES" w:eastAsia="es-ES"/>
              </w:rPr>
              <w:t>D</w:t>
            </w:r>
            <w:r w:rsidR="001C5574" w:rsidRPr="00AF329A">
              <w:rPr>
                <w:rFonts w:ascii="Calibri" w:eastAsia="Times New Roman" w:hAnsi="Calibri" w:cs="Times New Roman"/>
                <w:color w:val="000000"/>
                <w:sz w:val="16"/>
                <w:szCs w:val="16"/>
                <w:lang w:val="es-ES" w:eastAsia="es-ES"/>
              </w:rPr>
              <w:t>erogatoria</w:t>
            </w:r>
            <w:r w:rsidRPr="00AF329A">
              <w:rPr>
                <w:rFonts w:ascii="Calibri" w:eastAsia="Times New Roman" w:hAnsi="Calibri" w:cs="Times New Roman"/>
                <w:color w:val="000000"/>
                <w:sz w:val="16"/>
                <w:szCs w:val="16"/>
                <w:lang w:val="es-ES" w:eastAsia="es-ES"/>
              </w:rPr>
              <w:t xml:space="preserve"> y una Final.</w:t>
            </w:r>
          </w:p>
        </w:tc>
      </w:tr>
      <w:tr w:rsidR="00E2646D" w:rsidRPr="00AF329A" w:rsidTr="00EC5E9B">
        <w:trPr>
          <w:trHeight w:val="604"/>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p>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p>
          <w:p w:rsidR="00E2646D" w:rsidRPr="00AF329A" w:rsidRDefault="00F22EF9"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INFORMES RECABADOS</w:t>
            </w:r>
          </w:p>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p>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p>
        </w:tc>
        <w:tc>
          <w:tcPr>
            <w:tcW w:w="83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5574" w:rsidRPr="00AF329A" w:rsidRDefault="001C5574" w:rsidP="00205CA6">
            <w:pPr>
              <w:spacing w:after="0" w:line="240" w:lineRule="auto"/>
              <w:jc w:val="both"/>
              <w:rPr>
                <w:rFonts w:ascii="Calibri" w:eastAsia="Times New Roman" w:hAnsi="Calibri" w:cs="Times New Roman"/>
                <w:color w:val="000000"/>
                <w:sz w:val="16"/>
                <w:szCs w:val="16"/>
                <w:lang w:val="es-ES" w:eastAsia="es-ES"/>
              </w:rPr>
            </w:pPr>
          </w:p>
        </w:tc>
      </w:tr>
      <w:tr w:rsidR="00E2646D" w:rsidRPr="00AF329A" w:rsidTr="00EC5E9B">
        <w:trPr>
          <w:trHeight w:val="1317"/>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2646D" w:rsidRPr="00AF329A" w:rsidRDefault="00F22EF9"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TRÁMITE DE AUDIENCIA/TRÁMITE DE INFORMACIÓN PÚBLICA</w:t>
            </w:r>
          </w:p>
        </w:tc>
        <w:tc>
          <w:tcPr>
            <w:tcW w:w="83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46D" w:rsidRPr="00AF329A" w:rsidRDefault="001C5574" w:rsidP="001C5574">
            <w:pPr>
              <w:spacing w:after="0" w:line="240" w:lineRule="auto"/>
              <w:jc w:val="both"/>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Trámite de consulta pública del</w:t>
            </w:r>
            <w:r w:rsidR="009611DE" w:rsidRPr="00AF329A">
              <w:rPr>
                <w:rFonts w:ascii="Calibri" w:eastAsia="Times New Roman" w:hAnsi="Calibri" w:cs="Times New Roman"/>
                <w:color w:val="000000"/>
                <w:sz w:val="16"/>
                <w:szCs w:val="16"/>
                <w:lang w:val="es-ES" w:eastAsia="es-ES"/>
              </w:rPr>
              <w:t xml:space="preserve"> 12</w:t>
            </w:r>
            <w:r w:rsidRPr="00AF329A">
              <w:rPr>
                <w:rFonts w:ascii="Calibri" w:eastAsia="Times New Roman" w:hAnsi="Calibri" w:cs="Times New Roman"/>
                <w:color w:val="000000"/>
                <w:sz w:val="16"/>
                <w:szCs w:val="16"/>
                <w:lang w:val="es-ES" w:eastAsia="es-ES"/>
              </w:rPr>
              <w:t xml:space="preserve"> al </w:t>
            </w:r>
            <w:r w:rsidR="009611DE" w:rsidRPr="00AF329A">
              <w:rPr>
                <w:rFonts w:ascii="Calibri" w:eastAsia="Times New Roman" w:hAnsi="Calibri" w:cs="Times New Roman"/>
                <w:color w:val="000000"/>
                <w:sz w:val="16"/>
                <w:szCs w:val="16"/>
                <w:lang w:val="es-ES" w:eastAsia="es-ES"/>
              </w:rPr>
              <w:t>26 de diciembre</w:t>
            </w:r>
            <w:r w:rsidRPr="00AF329A">
              <w:rPr>
                <w:rFonts w:ascii="Calibri" w:eastAsia="Times New Roman" w:hAnsi="Calibri" w:cs="Times New Roman"/>
                <w:color w:val="000000"/>
                <w:sz w:val="16"/>
                <w:szCs w:val="16"/>
                <w:lang w:val="es-ES" w:eastAsia="es-ES"/>
              </w:rPr>
              <w:t xml:space="preserve"> de 2018 en el Portal de Transparencia de la Comunidad de Madrid (</w:t>
            </w:r>
            <w:hyperlink r:id="rId7" w:history="1">
              <w:r w:rsidR="004711AA" w:rsidRPr="00AF329A">
                <w:rPr>
                  <w:rStyle w:val="Hipervnculo"/>
                  <w:rFonts w:ascii="Calibri" w:eastAsia="Times New Roman" w:hAnsi="Calibri" w:cs="Times New Roman"/>
                  <w:sz w:val="16"/>
                  <w:szCs w:val="16"/>
                  <w:lang w:val="es-ES" w:eastAsia="es-ES"/>
                </w:rPr>
                <w:t>www.madrid.org</w:t>
              </w:r>
            </w:hyperlink>
            <w:r w:rsidRPr="00AF329A">
              <w:rPr>
                <w:rFonts w:ascii="Calibri" w:eastAsia="Times New Roman" w:hAnsi="Calibri" w:cs="Times New Roman"/>
                <w:color w:val="000000"/>
                <w:sz w:val="16"/>
                <w:szCs w:val="16"/>
                <w:lang w:val="es-ES" w:eastAsia="es-ES"/>
              </w:rPr>
              <w:t>.)</w:t>
            </w:r>
          </w:p>
          <w:p w:rsidR="004711AA" w:rsidRPr="00AF329A" w:rsidRDefault="004711AA" w:rsidP="001C5574">
            <w:pPr>
              <w:spacing w:after="0" w:line="240" w:lineRule="auto"/>
              <w:jc w:val="both"/>
              <w:rPr>
                <w:rFonts w:ascii="Calibri" w:eastAsia="Times New Roman" w:hAnsi="Calibri" w:cs="Times New Roman"/>
                <w:color w:val="000000"/>
                <w:sz w:val="16"/>
                <w:szCs w:val="16"/>
                <w:lang w:val="es-ES" w:eastAsia="es-ES"/>
              </w:rPr>
            </w:pPr>
          </w:p>
        </w:tc>
      </w:tr>
      <w:tr w:rsidR="00E2646D" w:rsidRPr="00AF329A" w:rsidTr="00EC5E9B">
        <w:trPr>
          <w:trHeight w:val="358"/>
          <w:jc w:val="center"/>
        </w:trPr>
        <w:tc>
          <w:tcPr>
            <w:tcW w:w="9936"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2646D" w:rsidRPr="00AF329A" w:rsidRDefault="00E2646D" w:rsidP="00E2646D">
            <w:pPr>
              <w:spacing w:after="0" w:line="240" w:lineRule="auto"/>
              <w:jc w:val="center"/>
              <w:rPr>
                <w:rFonts w:ascii="Calibri" w:eastAsia="Times New Roman" w:hAnsi="Calibri" w:cs="Times New Roman"/>
                <w:color w:val="000000"/>
                <w:sz w:val="16"/>
                <w:szCs w:val="16"/>
                <w:lang w:val="es-ES" w:eastAsia="es-ES"/>
              </w:rPr>
            </w:pPr>
            <w:r w:rsidRPr="00AF329A">
              <w:rPr>
                <w:rFonts w:ascii="Calibri" w:eastAsia="Times New Roman" w:hAnsi="Calibri" w:cs="Times New Roman"/>
                <w:b/>
                <w:color w:val="000000"/>
                <w:sz w:val="16"/>
                <w:szCs w:val="16"/>
                <w:lang w:val="es-ES" w:eastAsia="es-ES"/>
              </w:rPr>
              <w:t>ANÁLISIS DE IMPACTOS</w:t>
            </w:r>
          </w:p>
        </w:tc>
      </w:tr>
      <w:tr w:rsidR="00E2646D" w:rsidRPr="00AF329A" w:rsidTr="00EC5E9B">
        <w:trPr>
          <w:trHeight w:val="4490"/>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2646D" w:rsidRPr="00AF329A" w:rsidRDefault="00E2646D" w:rsidP="00F22EF9">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ADECUACIÓN AL ORDEN DE COMPETENCIAS</w:t>
            </w:r>
          </w:p>
        </w:tc>
        <w:tc>
          <w:tcPr>
            <w:tcW w:w="83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CA6" w:rsidRDefault="002E5538" w:rsidP="00531B88">
            <w:pPr>
              <w:jc w:val="both"/>
              <w:rPr>
                <w:sz w:val="16"/>
                <w:szCs w:val="16"/>
              </w:rPr>
            </w:pPr>
            <w:r w:rsidRPr="00AF329A">
              <w:rPr>
                <w:sz w:val="16"/>
                <w:szCs w:val="16"/>
              </w:rPr>
              <w:t>Se</w:t>
            </w:r>
            <w:r w:rsidR="00D3576E" w:rsidRPr="00AF329A">
              <w:rPr>
                <w:sz w:val="16"/>
                <w:szCs w:val="16"/>
              </w:rPr>
              <w:t xml:space="preserve"> adecúa</w:t>
            </w:r>
            <w:r w:rsidR="00205CA6">
              <w:rPr>
                <w:sz w:val="16"/>
                <w:szCs w:val="16"/>
              </w:rPr>
              <w:t xml:space="preserve"> a:</w:t>
            </w:r>
          </w:p>
          <w:p w:rsidR="008C475B" w:rsidRDefault="00205CA6" w:rsidP="00205CA6">
            <w:pPr>
              <w:pStyle w:val="Prrafodelista"/>
              <w:numPr>
                <w:ilvl w:val="0"/>
                <w:numId w:val="3"/>
              </w:numPr>
              <w:jc w:val="both"/>
              <w:rPr>
                <w:sz w:val="16"/>
                <w:szCs w:val="16"/>
              </w:rPr>
            </w:pPr>
            <w:r w:rsidRPr="00205CA6">
              <w:rPr>
                <w:sz w:val="16"/>
                <w:szCs w:val="16"/>
              </w:rPr>
              <w:t>L</w:t>
            </w:r>
            <w:r w:rsidR="00D3576E" w:rsidRPr="00205CA6">
              <w:rPr>
                <w:sz w:val="16"/>
                <w:szCs w:val="16"/>
              </w:rPr>
              <w:t xml:space="preserve">as competencias establecidas en </w:t>
            </w:r>
            <w:r w:rsidR="008C475B" w:rsidRPr="00205CA6">
              <w:rPr>
                <w:sz w:val="16"/>
                <w:szCs w:val="16"/>
              </w:rPr>
              <w:t>la Constitución Española en su artículo 149.3.</w:t>
            </w:r>
          </w:p>
          <w:p w:rsidR="00205CA6" w:rsidRPr="00205CA6" w:rsidRDefault="00205CA6" w:rsidP="00205CA6">
            <w:pPr>
              <w:pStyle w:val="Prrafodelista"/>
              <w:jc w:val="both"/>
              <w:rPr>
                <w:sz w:val="16"/>
                <w:szCs w:val="16"/>
              </w:rPr>
            </w:pPr>
          </w:p>
          <w:p w:rsidR="00205CA6" w:rsidRDefault="00205CA6" w:rsidP="00EB13C0">
            <w:pPr>
              <w:pStyle w:val="Prrafodelista"/>
              <w:numPr>
                <w:ilvl w:val="0"/>
                <w:numId w:val="3"/>
              </w:numPr>
              <w:jc w:val="both"/>
              <w:rPr>
                <w:sz w:val="16"/>
                <w:szCs w:val="16"/>
              </w:rPr>
            </w:pPr>
            <w:r w:rsidRPr="00205CA6">
              <w:rPr>
                <w:sz w:val="16"/>
                <w:szCs w:val="16"/>
              </w:rPr>
              <w:t xml:space="preserve">Las competencias </w:t>
            </w:r>
            <w:r w:rsidR="008C475B" w:rsidRPr="00205CA6">
              <w:rPr>
                <w:sz w:val="16"/>
                <w:szCs w:val="16"/>
              </w:rPr>
              <w:t xml:space="preserve">establecidas en </w:t>
            </w:r>
            <w:r w:rsidR="00D3576E" w:rsidRPr="00205CA6">
              <w:rPr>
                <w:sz w:val="16"/>
                <w:szCs w:val="16"/>
              </w:rPr>
              <w:t xml:space="preserve">el </w:t>
            </w:r>
            <w:r w:rsidR="002E5538" w:rsidRPr="00205CA6">
              <w:rPr>
                <w:sz w:val="16"/>
                <w:szCs w:val="16"/>
              </w:rPr>
              <w:t>Estatuto de Autonomía de la Comunidad de Madrid</w:t>
            </w:r>
            <w:r w:rsidR="008C475B" w:rsidRPr="00205CA6">
              <w:rPr>
                <w:sz w:val="16"/>
                <w:szCs w:val="16"/>
              </w:rPr>
              <w:t xml:space="preserve"> </w:t>
            </w:r>
            <w:r w:rsidR="003C69B5" w:rsidRPr="00205CA6">
              <w:rPr>
                <w:sz w:val="16"/>
                <w:szCs w:val="16"/>
              </w:rPr>
              <w:t xml:space="preserve">en </w:t>
            </w:r>
            <w:r w:rsidR="008C475B" w:rsidRPr="00205CA6">
              <w:rPr>
                <w:sz w:val="16"/>
                <w:szCs w:val="16"/>
              </w:rPr>
              <w:t xml:space="preserve">sus </w:t>
            </w:r>
            <w:r w:rsidR="002E5538" w:rsidRPr="00205CA6">
              <w:rPr>
                <w:sz w:val="16"/>
                <w:szCs w:val="16"/>
              </w:rPr>
              <w:t>artículo</w:t>
            </w:r>
            <w:r w:rsidR="008C475B" w:rsidRPr="00205CA6">
              <w:rPr>
                <w:sz w:val="16"/>
                <w:szCs w:val="16"/>
              </w:rPr>
              <w:t xml:space="preserve"> 22</w:t>
            </w:r>
            <w:r w:rsidR="002E5538" w:rsidRPr="00205CA6">
              <w:rPr>
                <w:sz w:val="16"/>
                <w:szCs w:val="16"/>
              </w:rPr>
              <w:t xml:space="preserve">, </w:t>
            </w:r>
            <w:r w:rsidR="00531B88" w:rsidRPr="00205CA6">
              <w:rPr>
                <w:sz w:val="16"/>
                <w:szCs w:val="16"/>
              </w:rPr>
              <w:t xml:space="preserve">que </w:t>
            </w:r>
            <w:r w:rsidR="008C475B" w:rsidRPr="00205CA6">
              <w:rPr>
                <w:sz w:val="16"/>
                <w:szCs w:val="16"/>
              </w:rPr>
              <w:t>establece</w:t>
            </w:r>
            <w:r w:rsidRPr="00205CA6">
              <w:rPr>
                <w:sz w:val="16"/>
                <w:szCs w:val="16"/>
              </w:rPr>
              <w:t xml:space="preserve"> </w:t>
            </w:r>
            <w:r w:rsidR="008C475B" w:rsidRPr="00205CA6">
              <w:rPr>
                <w:sz w:val="16"/>
                <w:szCs w:val="16"/>
              </w:rPr>
              <w:t xml:space="preserve">que el Gobierno de la Comunidad de Madrid es el órgano colegiado que dirige la política de la Comunidad de Madrid, correspondiéndole las funciones ejecutivas y administrativas, así como el ejercicio de la potestad reglamentaria en materias no reservadas en este Estatuto  a la Asamblea y </w:t>
            </w:r>
            <w:r w:rsidRPr="00205CA6">
              <w:rPr>
                <w:sz w:val="16"/>
                <w:szCs w:val="16"/>
              </w:rPr>
              <w:t xml:space="preserve">en su artículo  26.1.29  </w:t>
            </w:r>
            <w:r w:rsidR="008C475B" w:rsidRPr="00205CA6">
              <w:rPr>
                <w:sz w:val="16"/>
                <w:szCs w:val="16"/>
              </w:rPr>
              <w:t xml:space="preserve">que </w:t>
            </w:r>
            <w:r w:rsidR="00531B88" w:rsidRPr="00205CA6">
              <w:rPr>
                <w:sz w:val="16"/>
                <w:szCs w:val="16"/>
              </w:rPr>
              <w:t xml:space="preserve">atribuye </w:t>
            </w:r>
            <w:r w:rsidR="002E5538" w:rsidRPr="00205CA6">
              <w:rPr>
                <w:sz w:val="16"/>
                <w:szCs w:val="16"/>
              </w:rPr>
              <w:t>la competencia exclusiva a la Comunidad de Madrid en materia de casinos, juegos y apuestas, a excepción de las apuest</w:t>
            </w:r>
            <w:r w:rsidR="00531B88" w:rsidRPr="00205CA6">
              <w:rPr>
                <w:sz w:val="16"/>
                <w:szCs w:val="16"/>
              </w:rPr>
              <w:t xml:space="preserve">as Mutuas Deportivo-Benéficas. </w:t>
            </w:r>
          </w:p>
          <w:p w:rsidR="00205CA6" w:rsidRPr="00205CA6" w:rsidRDefault="00205CA6" w:rsidP="00205CA6">
            <w:pPr>
              <w:pStyle w:val="Prrafodelista"/>
              <w:rPr>
                <w:sz w:val="16"/>
                <w:szCs w:val="16"/>
              </w:rPr>
            </w:pPr>
          </w:p>
          <w:p w:rsidR="00531B88" w:rsidRDefault="00205CA6" w:rsidP="00EB13C0">
            <w:pPr>
              <w:pStyle w:val="Prrafodelista"/>
              <w:numPr>
                <w:ilvl w:val="0"/>
                <w:numId w:val="3"/>
              </w:numPr>
              <w:jc w:val="both"/>
              <w:rPr>
                <w:sz w:val="16"/>
                <w:szCs w:val="16"/>
              </w:rPr>
            </w:pPr>
            <w:r>
              <w:rPr>
                <w:sz w:val="16"/>
                <w:szCs w:val="16"/>
              </w:rPr>
              <w:t>L</w:t>
            </w:r>
            <w:r w:rsidR="00531B88" w:rsidRPr="00205CA6">
              <w:rPr>
                <w:sz w:val="16"/>
                <w:szCs w:val="16"/>
              </w:rPr>
              <w:t xml:space="preserve">a Ley </w:t>
            </w:r>
            <w:r w:rsidR="002E5538" w:rsidRPr="00205CA6">
              <w:rPr>
                <w:sz w:val="16"/>
                <w:szCs w:val="16"/>
              </w:rPr>
              <w:t xml:space="preserve">6/2001, de 3 de julio, del Juego de Madrid, </w:t>
            </w:r>
            <w:r w:rsidR="00531B88" w:rsidRPr="00205CA6">
              <w:rPr>
                <w:sz w:val="16"/>
                <w:szCs w:val="16"/>
              </w:rPr>
              <w:t>que atribuye en su artículo 2 al Gobierno de la Comunidad de Madrid la aprobación de los Reglamentos Técnicos</w:t>
            </w:r>
            <w:r w:rsidR="008C475B" w:rsidRPr="00205CA6">
              <w:rPr>
                <w:sz w:val="16"/>
                <w:szCs w:val="16"/>
              </w:rPr>
              <w:t xml:space="preserve"> de los Juegos</w:t>
            </w:r>
            <w:r w:rsidR="00531B88" w:rsidRPr="00205CA6">
              <w:rPr>
                <w:sz w:val="16"/>
                <w:szCs w:val="16"/>
              </w:rPr>
              <w:t>.</w:t>
            </w:r>
          </w:p>
          <w:p w:rsidR="00205CA6" w:rsidRPr="00205CA6" w:rsidRDefault="00205CA6" w:rsidP="00205CA6">
            <w:pPr>
              <w:pStyle w:val="Prrafodelista"/>
              <w:rPr>
                <w:sz w:val="16"/>
                <w:szCs w:val="16"/>
              </w:rPr>
            </w:pPr>
          </w:p>
          <w:p w:rsidR="00531B88" w:rsidRPr="00205CA6" w:rsidRDefault="00205CA6" w:rsidP="004A73B5">
            <w:pPr>
              <w:pStyle w:val="Prrafodelista"/>
              <w:numPr>
                <w:ilvl w:val="0"/>
                <w:numId w:val="3"/>
              </w:numPr>
              <w:jc w:val="both"/>
              <w:rPr>
                <w:sz w:val="16"/>
                <w:szCs w:val="16"/>
                <w:lang w:val="es-ES"/>
              </w:rPr>
            </w:pPr>
            <w:r>
              <w:rPr>
                <w:sz w:val="16"/>
                <w:szCs w:val="16"/>
              </w:rPr>
              <w:t>L</w:t>
            </w:r>
            <w:r w:rsidR="00531B88" w:rsidRPr="00205CA6">
              <w:rPr>
                <w:sz w:val="16"/>
                <w:szCs w:val="16"/>
              </w:rPr>
              <w:t>a</w:t>
            </w:r>
            <w:r w:rsidR="002E5538" w:rsidRPr="00205CA6">
              <w:rPr>
                <w:sz w:val="16"/>
                <w:szCs w:val="16"/>
              </w:rPr>
              <w:t xml:space="preserve"> Ley 1/1983, de 13 diciembre, de Gobierno y Administración de la Comunidad de Madrid, </w:t>
            </w:r>
            <w:r w:rsidR="00531B88" w:rsidRPr="00205CA6">
              <w:rPr>
                <w:sz w:val="16"/>
                <w:szCs w:val="16"/>
              </w:rPr>
              <w:t xml:space="preserve">que </w:t>
            </w:r>
            <w:r w:rsidR="002E5538" w:rsidRPr="00205CA6">
              <w:rPr>
                <w:sz w:val="16"/>
                <w:szCs w:val="16"/>
              </w:rPr>
              <w:t>establece en su artículo 18, que el Consejo de Gobierno es el órgano colegiado que dirige la política y la administración de la Comunidad de Madrid</w:t>
            </w:r>
            <w:r w:rsidR="00531B88" w:rsidRPr="00205CA6">
              <w:rPr>
                <w:rFonts w:ascii="Calibri" w:eastAsia="Calibri" w:hAnsi="Calibri" w:cs="Times New Roman"/>
                <w:sz w:val="16"/>
                <w:szCs w:val="16"/>
                <w:lang w:val="es-ES"/>
              </w:rPr>
              <w:t xml:space="preserve"> </w:t>
            </w:r>
            <w:r w:rsidR="00531B88" w:rsidRPr="00205CA6">
              <w:rPr>
                <w:sz w:val="16"/>
                <w:szCs w:val="16"/>
                <w:lang w:val="es-ES"/>
              </w:rPr>
              <w:t xml:space="preserve">ejerce la iniciativa legislativa, la función ejecutiva y la potestad reglamentaria, </w:t>
            </w:r>
            <w:r w:rsidR="005E51DA" w:rsidRPr="00205CA6">
              <w:rPr>
                <w:sz w:val="16"/>
                <w:szCs w:val="16"/>
                <w:lang w:val="es-ES"/>
              </w:rPr>
              <w:t xml:space="preserve">y </w:t>
            </w:r>
            <w:r w:rsidR="00531B88" w:rsidRPr="00205CA6">
              <w:rPr>
                <w:sz w:val="16"/>
                <w:szCs w:val="16"/>
                <w:lang w:val="es-ES"/>
              </w:rPr>
              <w:t>en su artículo 21, determina que corresponde al Consejo de Gobierno entre otras atribuciones, la de aprobar mediante Decreto los Reglamentos para el desarrollo y ejecución de las Leyes emanadas de la Asamblea</w:t>
            </w:r>
            <w:r w:rsidR="005E51DA" w:rsidRPr="00205CA6">
              <w:rPr>
                <w:sz w:val="16"/>
                <w:szCs w:val="16"/>
                <w:lang w:val="es-ES"/>
              </w:rPr>
              <w:t xml:space="preserve">. </w:t>
            </w:r>
          </w:p>
          <w:p w:rsidR="00E2646D" w:rsidRPr="00AF329A" w:rsidRDefault="00E2646D" w:rsidP="00531B88">
            <w:pPr>
              <w:jc w:val="both"/>
              <w:rPr>
                <w:sz w:val="16"/>
                <w:szCs w:val="16"/>
              </w:rPr>
            </w:pPr>
          </w:p>
        </w:tc>
      </w:tr>
      <w:tr w:rsidR="00E2646D" w:rsidRPr="00AF329A" w:rsidTr="00EC5E9B">
        <w:trPr>
          <w:trHeight w:val="438"/>
          <w:jc w:val="center"/>
        </w:trPr>
        <w:tc>
          <w:tcPr>
            <w:tcW w:w="1568" w:type="dxa"/>
            <w:vMerge w:val="restart"/>
            <w:tcBorders>
              <w:top w:val="single" w:sz="4" w:space="0" w:color="auto"/>
              <w:left w:val="single" w:sz="4" w:space="0" w:color="auto"/>
              <w:right w:val="single" w:sz="4" w:space="0" w:color="auto"/>
            </w:tcBorders>
            <w:shd w:val="clear" w:color="auto" w:fill="D0CECE" w:themeFill="background2" w:themeFillShade="E6"/>
            <w:noWrap/>
            <w:vAlign w:val="center"/>
          </w:tcPr>
          <w:p w:rsidR="00E2646D" w:rsidRPr="00AF329A" w:rsidRDefault="00E2646D" w:rsidP="00F22EF9">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IMPACTO ECONÓMICO Y PRESUPUESTARIO</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46D" w:rsidRPr="00AF329A" w:rsidRDefault="00E2646D"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Efectos sobre la economía general</w:t>
            </w:r>
          </w:p>
        </w:tc>
        <w:tc>
          <w:tcPr>
            <w:tcW w:w="58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3D6" w:rsidRPr="00AF329A" w:rsidRDefault="00B433D6" w:rsidP="00E95AE9">
            <w:pPr>
              <w:spacing w:after="0" w:line="240" w:lineRule="auto"/>
              <w:jc w:val="both"/>
              <w:rPr>
                <w:rFonts w:ascii="Calibri" w:eastAsia="Times New Roman" w:hAnsi="Calibri" w:cs="Times New Roman"/>
                <w:sz w:val="16"/>
                <w:szCs w:val="16"/>
                <w:lang w:val="es-ES" w:eastAsia="es-ES"/>
              </w:rPr>
            </w:pPr>
            <w:r w:rsidRPr="00AF329A">
              <w:rPr>
                <w:rFonts w:ascii="Calibri" w:eastAsia="Times New Roman" w:hAnsi="Calibri" w:cs="Times New Roman"/>
                <w:sz w:val="16"/>
                <w:szCs w:val="16"/>
                <w:lang w:val="es-ES" w:eastAsia="es-ES"/>
              </w:rPr>
              <w:t xml:space="preserve">Impacto neutro sobre la economía general y </w:t>
            </w:r>
            <w:r w:rsidR="0067774F" w:rsidRPr="00AF329A">
              <w:rPr>
                <w:rFonts w:ascii="Calibri" w:eastAsia="Times New Roman" w:hAnsi="Calibri" w:cs="Times New Roman"/>
                <w:sz w:val="16"/>
                <w:szCs w:val="16"/>
                <w:lang w:val="es-ES" w:eastAsia="es-ES"/>
              </w:rPr>
              <w:t>la actividad económica de las empresas del sector.</w:t>
            </w:r>
          </w:p>
          <w:p w:rsidR="0067774F" w:rsidRPr="00AF329A" w:rsidRDefault="0067774F" w:rsidP="00E95AE9">
            <w:pPr>
              <w:spacing w:after="0" w:line="240" w:lineRule="auto"/>
              <w:jc w:val="both"/>
              <w:rPr>
                <w:rFonts w:ascii="Calibri" w:eastAsia="Times New Roman" w:hAnsi="Calibri" w:cs="Times New Roman"/>
                <w:sz w:val="16"/>
                <w:szCs w:val="16"/>
                <w:lang w:val="es-ES" w:eastAsia="es-ES"/>
              </w:rPr>
            </w:pPr>
          </w:p>
          <w:p w:rsidR="00E2646D" w:rsidRPr="00AF329A" w:rsidRDefault="0067774F" w:rsidP="00EC5E9B">
            <w:pPr>
              <w:spacing w:after="0" w:line="240" w:lineRule="auto"/>
              <w:jc w:val="both"/>
              <w:rPr>
                <w:rFonts w:ascii="Calibri" w:eastAsia="Times New Roman" w:hAnsi="Calibri" w:cs="Times New Roman"/>
                <w:color w:val="000000"/>
                <w:sz w:val="16"/>
                <w:szCs w:val="16"/>
                <w:lang w:val="es-ES" w:eastAsia="es-ES"/>
              </w:rPr>
            </w:pPr>
            <w:r w:rsidRPr="00AF329A">
              <w:rPr>
                <w:rFonts w:ascii="Calibri" w:eastAsia="Times New Roman" w:hAnsi="Calibri" w:cs="Times New Roman"/>
                <w:sz w:val="16"/>
                <w:szCs w:val="16"/>
                <w:lang w:val="es-ES" w:eastAsia="es-ES"/>
              </w:rPr>
              <w:t xml:space="preserve">Impacto social positivo, al establecer medidas que están justificadas por razones de interés general, de salud pública, orden público, seguridad pública y salud y seguridad de los consumidores, dictándose las medidas introducidas mediante el presente proyecto normativo en beneficio de los ciudadanos y de colectivos especialmente susceptibles de protección como son los menores y personas </w:t>
            </w:r>
            <w:r w:rsidR="00EC5E9B">
              <w:rPr>
                <w:rFonts w:ascii="Calibri" w:eastAsia="Times New Roman" w:hAnsi="Calibri" w:cs="Times New Roman"/>
                <w:sz w:val="16"/>
                <w:szCs w:val="16"/>
                <w:lang w:val="es-ES" w:eastAsia="es-ES"/>
              </w:rPr>
              <w:t>especialmente vulnerables al juego</w:t>
            </w:r>
            <w:r w:rsidRPr="00AF329A">
              <w:rPr>
                <w:rFonts w:ascii="Calibri" w:eastAsia="Times New Roman" w:hAnsi="Calibri" w:cs="Times New Roman"/>
                <w:sz w:val="16"/>
                <w:szCs w:val="16"/>
                <w:lang w:val="es-ES" w:eastAsia="es-ES"/>
              </w:rPr>
              <w:t xml:space="preserve">. </w:t>
            </w:r>
          </w:p>
        </w:tc>
      </w:tr>
      <w:tr w:rsidR="00E2646D" w:rsidRPr="00AF329A" w:rsidTr="00EC5E9B">
        <w:trPr>
          <w:trHeight w:val="699"/>
          <w:jc w:val="center"/>
        </w:trPr>
        <w:tc>
          <w:tcPr>
            <w:tcW w:w="1568" w:type="dxa"/>
            <w:vMerge/>
            <w:tcBorders>
              <w:left w:val="single" w:sz="4" w:space="0" w:color="auto"/>
              <w:right w:val="single" w:sz="4" w:space="0" w:color="auto"/>
            </w:tcBorders>
            <w:shd w:val="clear" w:color="auto" w:fill="D0CECE" w:themeFill="background2" w:themeFillShade="E6"/>
            <w:noWrap/>
            <w:vAlign w:val="center"/>
          </w:tcPr>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46D" w:rsidRPr="00AF329A" w:rsidRDefault="00E2646D"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En relación a la competencia</w:t>
            </w:r>
          </w:p>
        </w:tc>
        <w:tc>
          <w:tcPr>
            <w:tcW w:w="58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78D9" w:rsidRDefault="003978D9" w:rsidP="00B433D6">
            <w:pPr>
              <w:jc w:val="both"/>
              <w:rPr>
                <w:rFonts w:ascii="Calibri" w:eastAsia="Calibri" w:hAnsi="Calibri" w:cs="Times New Roman"/>
                <w:sz w:val="16"/>
                <w:szCs w:val="16"/>
                <w:lang w:val="es-ES"/>
              </w:rPr>
            </w:pPr>
          </w:p>
          <w:p w:rsidR="00B433D6" w:rsidRPr="00AF329A" w:rsidRDefault="00B433D6" w:rsidP="00B433D6">
            <w:pPr>
              <w:jc w:val="both"/>
              <w:rPr>
                <w:rFonts w:ascii="Calibri" w:eastAsia="Calibri" w:hAnsi="Calibri" w:cs="Times New Roman"/>
                <w:strike/>
                <w:sz w:val="16"/>
                <w:szCs w:val="16"/>
                <w:lang w:val="es-ES"/>
              </w:rPr>
            </w:pPr>
            <w:r w:rsidRPr="00AF329A">
              <w:rPr>
                <w:rFonts w:ascii="Calibri" w:eastAsia="Calibri" w:hAnsi="Calibri" w:cs="Times New Roman"/>
                <w:sz w:val="16"/>
                <w:szCs w:val="16"/>
                <w:lang w:val="es-ES"/>
              </w:rPr>
              <w:t xml:space="preserve">No tiene impactos directos sobre la competencia en el mercado de las empresas que realizan actividades relacionadas con el juego y las apuestas. </w:t>
            </w:r>
          </w:p>
          <w:p w:rsidR="00E2646D" w:rsidRPr="00AF329A" w:rsidRDefault="00E2646D" w:rsidP="008E0784">
            <w:pPr>
              <w:spacing w:after="0" w:line="240" w:lineRule="auto"/>
              <w:jc w:val="both"/>
              <w:rPr>
                <w:rFonts w:ascii="Calibri" w:eastAsia="Times New Roman" w:hAnsi="Calibri" w:cs="Times New Roman"/>
                <w:color w:val="000000"/>
                <w:sz w:val="16"/>
                <w:szCs w:val="16"/>
                <w:lang w:val="es-ES" w:eastAsia="es-ES"/>
              </w:rPr>
            </w:pPr>
          </w:p>
        </w:tc>
      </w:tr>
      <w:tr w:rsidR="00E2646D" w:rsidRPr="00AF329A" w:rsidTr="00EC5E9B">
        <w:trPr>
          <w:trHeight w:val="785"/>
          <w:jc w:val="center"/>
        </w:trPr>
        <w:tc>
          <w:tcPr>
            <w:tcW w:w="1568" w:type="dxa"/>
            <w:vMerge/>
            <w:tcBorders>
              <w:left w:val="single" w:sz="4" w:space="0" w:color="auto"/>
              <w:right w:val="single" w:sz="4" w:space="0" w:color="auto"/>
            </w:tcBorders>
            <w:shd w:val="clear" w:color="auto" w:fill="D0CECE" w:themeFill="background2" w:themeFillShade="E6"/>
            <w:noWrap/>
            <w:vAlign w:val="center"/>
          </w:tcPr>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color w:val="000000"/>
                <w:sz w:val="16"/>
                <w:szCs w:val="16"/>
                <w:lang w:val="es-ES" w:eastAsia="es-ES"/>
              </w:rPr>
              <w:t>Desde el punto de vista de las cargas administrativas</w:t>
            </w:r>
          </w:p>
        </w:tc>
        <w:tc>
          <w:tcPr>
            <w:tcW w:w="58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3D6" w:rsidRPr="00AF329A" w:rsidRDefault="00B433D6" w:rsidP="00B433D6">
            <w:pPr>
              <w:jc w:val="both"/>
              <w:rPr>
                <w:rFonts w:ascii="Calibri" w:eastAsia="Calibri" w:hAnsi="Calibri" w:cs="Times New Roman"/>
                <w:sz w:val="16"/>
                <w:szCs w:val="16"/>
                <w:lang w:val="es-ES"/>
              </w:rPr>
            </w:pPr>
            <w:r w:rsidRPr="00AF329A">
              <w:rPr>
                <w:rFonts w:ascii="Calibri" w:eastAsia="Calibri" w:hAnsi="Calibri" w:cs="Times New Roman"/>
                <w:sz w:val="16"/>
                <w:szCs w:val="16"/>
                <w:lang w:val="es-ES"/>
              </w:rPr>
              <w:t>Presentación de informe y memoria: 500€, para la acreditación de que entre las puertas de entrada al salón de juego o local específico de apuestas y el acceso de entrada de los centros educativos de enseñanza no universitaria, medidos radialmente, hay una distancia superior a 100 metros.</w:t>
            </w:r>
          </w:p>
          <w:p w:rsidR="00E2646D" w:rsidRPr="00AF329A" w:rsidRDefault="00B433D6" w:rsidP="00EC5E9B">
            <w:pPr>
              <w:jc w:val="both"/>
              <w:rPr>
                <w:rFonts w:ascii="Calibri" w:eastAsia="Times New Roman" w:hAnsi="Calibri" w:cs="Times New Roman"/>
                <w:b/>
                <w:color w:val="000000"/>
                <w:sz w:val="16"/>
                <w:szCs w:val="16"/>
                <w:lang w:val="es-ES" w:eastAsia="es-ES"/>
              </w:rPr>
            </w:pPr>
            <w:r w:rsidRPr="00AF329A">
              <w:rPr>
                <w:rFonts w:ascii="Calibri" w:eastAsia="Calibri" w:hAnsi="Calibri" w:cs="Times New Roman"/>
                <w:sz w:val="16"/>
                <w:szCs w:val="16"/>
                <w:lang w:val="es-ES"/>
              </w:rPr>
              <w:lastRenderedPageBreak/>
              <w:t>Llevanza de libros electrónica: 150€</w:t>
            </w:r>
            <w:r w:rsidR="00EC5E9B">
              <w:rPr>
                <w:rFonts w:ascii="Calibri" w:eastAsia="Calibri" w:hAnsi="Calibri" w:cs="Times New Roman"/>
                <w:sz w:val="16"/>
                <w:szCs w:val="16"/>
                <w:lang w:val="es-ES"/>
              </w:rPr>
              <w:t xml:space="preserve">, </w:t>
            </w:r>
            <w:r w:rsidRPr="00AF329A">
              <w:rPr>
                <w:rFonts w:ascii="Calibri" w:eastAsia="Calibri" w:hAnsi="Calibri" w:cs="Times New Roman"/>
                <w:sz w:val="16"/>
                <w:szCs w:val="16"/>
                <w:lang w:val="es-ES"/>
              </w:rPr>
              <w:t>para realizar las funciones del servicio de control de admisión mediante un sistema informático previamente homologado, que se conectará vía web con el Registro de Interdicciones de Acceso al Juego de la Comunidad de Madrid.</w:t>
            </w:r>
          </w:p>
        </w:tc>
      </w:tr>
      <w:tr w:rsidR="00E2646D" w:rsidRPr="00AF329A" w:rsidTr="00EC5E9B">
        <w:trPr>
          <w:trHeight w:val="438"/>
          <w:jc w:val="center"/>
        </w:trPr>
        <w:tc>
          <w:tcPr>
            <w:tcW w:w="1568" w:type="dxa"/>
            <w:vMerge/>
            <w:tcBorders>
              <w:left w:val="single" w:sz="4" w:space="0" w:color="auto"/>
              <w:bottom w:val="single" w:sz="4" w:space="0" w:color="auto"/>
              <w:right w:val="single" w:sz="4" w:space="0" w:color="auto"/>
            </w:tcBorders>
            <w:shd w:val="clear" w:color="auto" w:fill="D0CECE" w:themeFill="background2" w:themeFillShade="E6"/>
            <w:noWrap/>
            <w:vAlign w:val="center"/>
          </w:tcPr>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46D" w:rsidRPr="00AF329A" w:rsidRDefault="00E2646D"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Desde el punto de vista de los presupuestos, la norma</w:t>
            </w:r>
          </w:p>
        </w:tc>
        <w:tc>
          <w:tcPr>
            <w:tcW w:w="58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4CD" w:rsidRPr="007104CD" w:rsidRDefault="007104CD" w:rsidP="007104CD">
            <w:pPr>
              <w:spacing w:after="0" w:line="240" w:lineRule="auto"/>
              <w:rPr>
                <w:rFonts w:ascii="Calibri" w:eastAsia="Times New Roman" w:hAnsi="Calibri" w:cs="Times New Roman"/>
                <w:color w:val="000000"/>
                <w:sz w:val="16"/>
                <w:szCs w:val="16"/>
                <w:lang w:val="es-ES" w:eastAsia="es-ES"/>
              </w:rPr>
            </w:pPr>
            <w:r w:rsidRPr="007104CD">
              <w:rPr>
                <w:rFonts w:ascii="Calibri" w:eastAsia="Times New Roman" w:hAnsi="Calibri" w:cs="Times New Roman"/>
                <w:color w:val="000000"/>
                <w:sz w:val="16"/>
                <w:szCs w:val="16"/>
                <w:lang w:val="es-ES" w:eastAsia="es-ES"/>
              </w:rPr>
              <w:sym w:font="Symbol" w:char="F084"/>
            </w:r>
            <w:r w:rsidRPr="007104CD">
              <w:rPr>
                <w:rFonts w:ascii="Calibri" w:eastAsia="Times New Roman" w:hAnsi="Calibri" w:cs="Times New Roman"/>
                <w:color w:val="000000"/>
                <w:sz w:val="16"/>
                <w:szCs w:val="16"/>
                <w:lang w:val="es-ES" w:eastAsia="es-ES"/>
              </w:rPr>
              <w:t xml:space="preserve"> Afecta a los presupuestos de la Comunidad de Madrid</w:t>
            </w:r>
          </w:p>
          <w:p w:rsidR="00E2646D" w:rsidRPr="00AF329A" w:rsidRDefault="007104CD" w:rsidP="007104CD">
            <w:pPr>
              <w:spacing w:after="0" w:line="240" w:lineRule="auto"/>
              <w:rPr>
                <w:rFonts w:ascii="Calibri" w:eastAsia="Times New Roman" w:hAnsi="Calibri" w:cs="Times New Roman"/>
                <w:b/>
                <w:color w:val="000000"/>
                <w:sz w:val="16"/>
                <w:szCs w:val="16"/>
                <w:lang w:val="es-ES" w:eastAsia="es-ES"/>
              </w:rPr>
            </w:pPr>
            <w:r w:rsidRPr="007104CD">
              <w:rPr>
                <w:rFonts w:ascii="Calibri" w:eastAsia="Times New Roman" w:hAnsi="Calibri" w:cs="Times New Roman"/>
                <w:color w:val="000000"/>
                <w:sz w:val="16"/>
                <w:szCs w:val="16"/>
                <w:lang w:val="es-ES" w:eastAsia="es-ES"/>
              </w:rPr>
              <w:sym w:font="Symbol" w:char="F084"/>
            </w:r>
            <w:r w:rsidRPr="007104CD">
              <w:rPr>
                <w:rFonts w:ascii="Calibri" w:eastAsia="Times New Roman" w:hAnsi="Calibri" w:cs="Times New Roman"/>
                <w:color w:val="000000"/>
                <w:sz w:val="16"/>
                <w:szCs w:val="16"/>
                <w:lang w:val="es-ES" w:eastAsia="es-ES"/>
              </w:rPr>
              <w:t xml:space="preserve"> No afecta a los presupuestos de la Comunidad de Madrid</w:t>
            </w:r>
            <w:r w:rsidRPr="007104CD">
              <w:rPr>
                <w:rFonts w:ascii="Calibri" w:eastAsia="Times New Roman" w:hAnsi="Calibri" w:cs="Times New Roman"/>
                <w:color w:val="000000"/>
                <w:sz w:val="17"/>
                <w:szCs w:val="17"/>
                <w:lang w:val="es-ES" w:eastAsia="es-ES"/>
              </w:rPr>
              <w:t xml:space="preserve">  </w:t>
            </w:r>
          </w:p>
        </w:tc>
      </w:tr>
      <w:tr w:rsidR="00E2646D" w:rsidRPr="00AF329A" w:rsidTr="00EC5E9B">
        <w:trPr>
          <w:trHeight w:val="438"/>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p>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IMPACTO DE GÉNERO</w:t>
            </w:r>
          </w:p>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58D8" w:rsidRPr="00AF329A" w:rsidRDefault="00D558D8" w:rsidP="00E2646D">
            <w:pPr>
              <w:spacing w:after="0" w:line="240" w:lineRule="auto"/>
              <w:rPr>
                <w:rFonts w:ascii="Calibri" w:eastAsia="Times New Roman" w:hAnsi="Calibri" w:cs="Times New Roman"/>
                <w:color w:val="000000"/>
                <w:sz w:val="16"/>
                <w:szCs w:val="16"/>
                <w:lang w:val="es-ES" w:eastAsia="es-ES"/>
              </w:rPr>
            </w:pPr>
          </w:p>
          <w:p w:rsidR="00E2646D" w:rsidRPr="00AF329A" w:rsidRDefault="004711AA"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La norma No tiene impacto de Género</w:t>
            </w:r>
          </w:p>
        </w:tc>
        <w:tc>
          <w:tcPr>
            <w:tcW w:w="58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58D8" w:rsidRPr="00AF329A" w:rsidRDefault="00D558D8" w:rsidP="00E2646D">
            <w:pPr>
              <w:spacing w:after="0" w:line="240" w:lineRule="auto"/>
              <w:rPr>
                <w:rFonts w:ascii="Calibri" w:eastAsia="Times New Roman" w:hAnsi="Calibri" w:cs="Times New Roman"/>
                <w:color w:val="000000"/>
                <w:sz w:val="16"/>
                <w:szCs w:val="16"/>
                <w:lang w:val="es-ES" w:eastAsia="es-ES"/>
              </w:rPr>
            </w:pPr>
          </w:p>
          <w:p w:rsidR="00E2646D" w:rsidRPr="00AF329A" w:rsidRDefault="00E2646D" w:rsidP="00E2646D">
            <w:pPr>
              <w:spacing w:after="0" w:line="240" w:lineRule="auto"/>
              <w:rPr>
                <w:rFonts w:ascii="Calibri" w:eastAsia="Times New Roman" w:hAnsi="Calibri" w:cs="Times New Roman"/>
                <w:color w:val="000000"/>
                <w:sz w:val="16"/>
                <w:szCs w:val="16"/>
                <w:lang w:val="es-ES" w:eastAsia="es-ES"/>
              </w:rPr>
            </w:pPr>
          </w:p>
        </w:tc>
      </w:tr>
      <w:tr w:rsidR="001C5574" w:rsidRPr="00AF329A" w:rsidTr="00EC5E9B">
        <w:trPr>
          <w:trHeight w:val="146"/>
          <w:jc w:val="center"/>
        </w:trPr>
        <w:tc>
          <w:tcPr>
            <w:tcW w:w="1568" w:type="dxa"/>
            <w:vMerge w:val="restart"/>
            <w:tcBorders>
              <w:top w:val="single" w:sz="4" w:space="0" w:color="auto"/>
              <w:left w:val="single" w:sz="4" w:space="0" w:color="auto"/>
              <w:right w:val="single" w:sz="4" w:space="0" w:color="auto"/>
            </w:tcBorders>
            <w:shd w:val="clear" w:color="auto" w:fill="D0CECE" w:themeFill="background2" w:themeFillShade="E6"/>
            <w:noWrap/>
            <w:vAlign w:val="center"/>
          </w:tcPr>
          <w:p w:rsidR="001C5574" w:rsidRPr="00AF329A" w:rsidRDefault="001C5574"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OTROS IMPACTOS</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1AA" w:rsidRPr="00AF329A" w:rsidRDefault="004711AA" w:rsidP="00E2646D">
            <w:pPr>
              <w:spacing w:after="0" w:line="240" w:lineRule="auto"/>
              <w:rPr>
                <w:rFonts w:ascii="Calibri" w:eastAsia="Times New Roman" w:hAnsi="Calibri" w:cs="Times New Roman"/>
                <w:color w:val="000000"/>
                <w:sz w:val="16"/>
                <w:szCs w:val="16"/>
                <w:lang w:val="es-ES" w:eastAsia="es-ES"/>
              </w:rPr>
            </w:pPr>
          </w:p>
          <w:p w:rsidR="001C5574" w:rsidRPr="00AF329A" w:rsidRDefault="001C5574"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ADOLESCENCIA, INFANCIA O LA FAMILIA</w:t>
            </w:r>
          </w:p>
          <w:p w:rsidR="001C5574" w:rsidRPr="00AF329A" w:rsidRDefault="001C5574" w:rsidP="00E2646D">
            <w:pPr>
              <w:spacing w:after="0" w:line="240" w:lineRule="auto"/>
              <w:rPr>
                <w:rFonts w:ascii="Calibri" w:eastAsia="Times New Roman" w:hAnsi="Calibri" w:cs="Times New Roman"/>
                <w:color w:val="000000"/>
                <w:sz w:val="16"/>
                <w:szCs w:val="16"/>
                <w:lang w:val="es-ES" w:eastAsia="es-ES"/>
              </w:rPr>
            </w:pPr>
          </w:p>
        </w:tc>
        <w:tc>
          <w:tcPr>
            <w:tcW w:w="58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5574" w:rsidRPr="00AF329A" w:rsidRDefault="001C5574" w:rsidP="00E2646D">
            <w:pPr>
              <w:spacing w:after="0" w:line="240" w:lineRule="auto"/>
              <w:rPr>
                <w:rFonts w:ascii="Calibri" w:eastAsia="Times New Roman" w:hAnsi="Calibri" w:cs="Times New Roman"/>
                <w:color w:val="000000"/>
                <w:sz w:val="16"/>
                <w:szCs w:val="16"/>
                <w:lang w:val="es-ES" w:eastAsia="es-ES"/>
              </w:rPr>
            </w:pPr>
          </w:p>
        </w:tc>
      </w:tr>
      <w:tr w:rsidR="001C5574" w:rsidRPr="00AF329A" w:rsidTr="00EC5E9B">
        <w:trPr>
          <w:trHeight w:val="146"/>
          <w:jc w:val="center"/>
        </w:trPr>
        <w:tc>
          <w:tcPr>
            <w:tcW w:w="1568" w:type="dxa"/>
            <w:vMerge/>
            <w:tcBorders>
              <w:left w:val="single" w:sz="4" w:space="0" w:color="auto"/>
              <w:bottom w:val="single" w:sz="4" w:space="0" w:color="auto"/>
              <w:right w:val="single" w:sz="4" w:space="0" w:color="auto"/>
            </w:tcBorders>
            <w:shd w:val="clear" w:color="auto" w:fill="D0CECE" w:themeFill="background2" w:themeFillShade="E6"/>
            <w:noWrap/>
            <w:vAlign w:val="center"/>
          </w:tcPr>
          <w:p w:rsidR="001C5574" w:rsidRPr="00AF329A" w:rsidRDefault="001C5574" w:rsidP="00E2646D">
            <w:pPr>
              <w:spacing w:after="0" w:line="240" w:lineRule="auto"/>
              <w:rPr>
                <w:rFonts w:ascii="Calibri" w:eastAsia="Times New Roman" w:hAnsi="Calibri" w:cs="Times New Roman"/>
                <w:b/>
                <w:color w:val="000000"/>
                <w:sz w:val="16"/>
                <w:szCs w:val="16"/>
                <w:lang w:val="es-ES" w:eastAsia="es-ES"/>
              </w:rPr>
            </w:pP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CB5" w:rsidRPr="00AF329A" w:rsidRDefault="00780CB5" w:rsidP="00E2646D">
            <w:pPr>
              <w:spacing w:after="0" w:line="240" w:lineRule="auto"/>
              <w:rPr>
                <w:rFonts w:ascii="Calibri" w:eastAsia="Times New Roman" w:hAnsi="Calibri" w:cs="Times New Roman"/>
                <w:color w:val="000000"/>
                <w:sz w:val="16"/>
                <w:szCs w:val="16"/>
                <w:lang w:val="es-ES" w:eastAsia="es-ES"/>
              </w:rPr>
            </w:pPr>
          </w:p>
          <w:p w:rsidR="001C5574" w:rsidRPr="00AF329A" w:rsidRDefault="001C5574"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EN MATERIA DE ORIENTACIÓN SEXUAL, IDENTIDAD O EXPRESIÓN DE GÉNERO</w:t>
            </w:r>
          </w:p>
        </w:tc>
        <w:tc>
          <w:tcPr>
            <w:tcW w:w="58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5574" w:rsidRPr="00AF329A" w:rsidRDefault="001C5574" w:rsidP="001C5574">
            <w:pPr>
              <w:spacing w:after="0" w:line="240" w:lineRule="auto"/>
              <w:rPr>
                <w:rFonts w:ascii="Calibri" w:eastAsia="Times New Roman" w:hAnsi="Calibri" w:cs="Times New Roman"/>
                <w:color w:val="000000"/>
                <w:sz w:val="16"/>
                <w:szCs w:val="16"/>
                <w:lang w:val="es-ES" w:eastAsia="es-ES"/>
              </w:rPr>
            </w:pPr>
          </w:p>
        </w:tc>
      </w:tr>
      <w:tr w:rsidR="00E2646D" w:rsidRPr="00AF329A" w:rsidTr="00EC5E9B">
        <w:trPr>
          <w:trHeight w:val="438"/>
          <w:jc w:val="center"/>
        </w:trPr>
        <w:tc>
          <w:tcPr>
            <w:tcW w:w="1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2646D" w:rsidRPr="00AF329A" w:rsidRDefault="00E2646D" w:rsidP="00E2646D">
            <w:pPr>
              <w:spacing w:after="0" w:line="240" w:lineRule="auto"/>
              <w:rPr>
                <w:rFonts w:ascii="Calibri" w:eastAsia="Times New Roman" w:hAnsi="Calibri" w:cs="Times New Roman"/>
                <w:b/>
                <w:color w:val="000000"/>
                <w:sz w:val="16"/>
                <w:szCs w:val="16"/>
                <w:lang w:val="es-ES" w:eastAsia="es-ES"/>
              </w:rPr>
            </w:pPr>
            <w:r w:rsidRPr="00AF329A">
              <w:rPr>
                <w:rFonts w:ascii="Calibri" w:eastAsia="Times New Roman" w:hAnsi="Calibri" w:cs="Times New Roman"/>
                <w:b/>
                <w:color w:val="000000"/>
                <w:sz w:val="16"/>
                <w:szCs w:val="16"/>
                <w:lang w:val="es-ES" w:eastAsia="es-ES"/>
              </w:rPr>
              <w:t>OTRAS CONSIDERACIONES</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46D" w:rsidRPr="00AF329A" w:rsidRDefault="004814C5" w:rsidP="00E2646D">
            <w:pPr>
              <w:spacing w:after="0" w:line="240" w:lineRule="auto"/>
              <w:rPr>
                <w:rFonts w:ascii="Calibri" w:eastAsia="Times New Roman" w:hAnsi="Calibri" w:cs="Times New Roman"/>
                <w:color w:val="000000"/>
                <w:sz w:val="16"/>
                <w:szCs w:val="16"/>
                <w:lang w:val="es-ES" w:eastAsia="es-ES"/>
              </w:rPr>
            </w:pPr>
            <w:r w:rsidRPr="00AF329A">
              <w:rPr>
                <w:rFonts w:ascii="Calibri" w:eastAsia="Times New Roman" w:hAnsi="Calibri" w:cs="Times New Roman"/>
                <w:color w:val="000000"/>
                <w:sz w:val="16"/>
                <w:szCs w:val="16"/>
                <w:lang w:val="es-ES" w:eastAsia="es-ES"/>
              </w:rPr>
              <w:t xml:space="preserve">No existen </w:t>
            </w:r>
          </w:p>
        </w:tc>
        <w:tc>
          <w:tcPr>
            <w:tcW w:w="58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46D" w:rsidRPr="00AF329A" w:rsidRDefault="00E2646D" w:rsidP="00E2646D">
            <w:pPr>
              <w:spacing w:after="0" w:line="240" w:lineRule="auto"/>
              <w:rPr>
                <w:rFonts w:ascii="Calibri" w:eastAsia="Times New Roman" w:hAnsi="Calibri" w:cs="Times New Roman"/>
                <w:color w:val="000000"/>
                <w:sz w:val="16"/>
                <w:szCs w:val="16"/>
                <w:lang w:val="es-ES" w:eastAsia="es-ES"/>
              </w:rPr>
            </w:pPr>
          </w:p>
        </w:tc>
      </w:tr>
    </w:tbl>
    <w:p w:rsidR="005819E9" w:rsidRPr="00AF329A" w:rsidRDefault="005819E9">
      <w:pPr>
        <w:rPr>
          <w:sz w:val="16"/>
          <w:szCs w:val="16"/>
        </w:rPr>
      </w:pPr>
    </w:p>
    <w:sectPr w:rsidR="005819E9" w:rsidRPr="00AF329A" w:rsidSect="00343013">
      <w:headerReference w:type="default" r:id="rId8"/>
      <w:pgSz w:w="11906" w:h="16838"/>
      <w:pgMar w:top="851" w:right="1701" w:bottom="993"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B18" w:rsidRDefault="009A1B18" w:rsidP="00343013">
      <w:pPr>
        <w:spacing w:after="0" w:line="240" w:lineRule="auto"/>
      </w:pPr>
      <w:r>
        <w:separator/>
      </w:r>
    </w:p>
  </w:endnote>
  <w:endnote w:type="continuationSeparator" w:id="0">
    <w:p w:rsidR="009A1B18" w:rsidRDefault="009A1B18" w:rsidP="0034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B18" w:rsidRDefault="009A1B18" w:rsidP="00343013">
      <w:pPr>
        <w:spacing w:after="0" w:line="240" w:lineRule="auto"/>
      </w:pPr>
      <w:r>
        <w:separator/>
      </w:r>
    </w:p>
  </w:footnote>
  <w:footnote w:type="continuationSeparator" w:id="0">
    <w:p w:rsidR="009A1B18" w:rsidRDefault="009A1B18" w:rsidP="00343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64D" w:rsidRDefault="00CE664D" w:rsidP="00343013">
    <w:pPr>
      <w:pStyle w:val="Encabezado"/>
      <w:jc w:val="center"/>
      <w:rPr>
        <w:b/>
      </w:rPr>
    </w:pPr>
  </w:p>
  <w:p w:rsidR="00CE664D" w:rsidRDefault="00CE664D" w:rsidP="00343013">
    <w:pPr>
      <w:pStyle w:val="Encabezado"/>
      <w:jc w:val="center"/>
      <w:rPr>
        <w:b/>
      </w:rPr>
    </w:pPr>
    <w:r>
      <w:rPr>
        <w:b/>
      </w:rPr>
      <w:t>ANEXO</w:t>
    </w:r>
  </w:p>
  <w:p w:rsidR="00343013" w:rsidRPr="00343013" w:rsidRDefault="00343013" w:rsidP="00343013">
    <w:pPr>
      <w:pStyle w:val="Encabezado"/>
      <w:jc w:val="center"/>
      <w:rPr>
        <w:b/>
      </w:rPr>
    </w:pPr>
    <w:r w:rsidRPr="00343013">
      <w:rPr>
        <w:b/>
      </w:rPr>
      <w:t>MEMORIA DE ANÁLISIS DE IMPACTO NORMATIVO</w:t>
    </w:r>
  </w:p>
  <w:p w:rsidR="00343013" w:rsidRPr="00343013" w:rsidRDefault="00343013" w:rsidP="004711AA">
    <w:pPr>
      <w:pStyle w:val="Encabezado"/>
      <w:ind w:left="720"/>
      <w:jc w:val="center"/>
      <w:rPr>
        <w:b/>
      </w:rPr>
    </w:pPr>
    <w:r w:rsidRPr="00343013">
      <w:rPr>
        <w:b/>
      </w:rPr>
      <w:t>FICHA RESUMEN EJECUTIVO</w:t>
    </w:r>
  </w:p>
  <w:p w:rsidR="00343013" w:rsidRDefault="003430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B7837"/>
    <w:multiLevelType w:val="hybridMultilevel"/>
    <w:tmpl w:val="83722F96"/>
    <w:lvl w:ilvl="0" w:tplc="AB90220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F7F1390"/>
    <w:multiLevelType w:val="hybridMultilevel"/>
    <w:tmpl w:val="B174608E"/>
    <w:lvl w:ilvl="0" w:tplc="1E8E7ED2">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2A201F9"/>
    <w:multiLevelType w:val="hybridMultilevel"/>
    <w:tmpl w:val="7E3E8252"/>
    <w:lvl w:ilvl="0" w:tplc="1790593A">
      <w:start w:val="1"/>
      <w:numFmt w:val="lowerLetter"/>
      <w:lvlText w:val="%1)"/>
      <w:lvlJc w:val="left"/>
      <w:pPr>
        <w:ind w:left="1428" w:hanging="360"/>
      </w:pPr>
      <w:rPr>
        <w:b w:val="0"/>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16"/>
    <w:rsid w:val="000112E1"/>
    <w:rsid w:val="001C5574"/>
    <w:rsid w:val="00205CA6"/>
    <w:rsid w:val="00211C81"/>
    <w:rsid w:val="00237A33"/>
    <w:rsid w:val="002C4D6F"/>
    <w:rsid w:val="002E5538"/>
    <w:rsid w:val="003277BF"/>
    <w:rsid w:val="00343013"/>
    <w:rsid w:val="003955A6"/>
    <w:rsid w:val="003978D9"/>
    <w:rsid w:val="003C69B5"/>
    <w:rsid w:val="004661AF"/>
    <w:rsid w:val="004711AA"/>
    <w:rsid w:val="004814C5"/>
    <w:rsid w:val="00483548"/>
    <w:rsid w:val="004A7F8A"/>
    <w:rsid w:val="00531B88"/>
    <w:rsid w:val="005819E9"/>
    <w:rsid w:val="005E51DA"/>
    <w:rsid w:val="00607BDD"/>
    <w:rsid w:val="00667C57"/>
    <w:rsid w:val="0067774F"/>
    <w:rsid w:val="0068211D"/>
    <w:rsid w:val="006A1B25"/>
    <w:rsid w:val="006D67E5"/>
    <w:rsid w:val="007104CD"/>
    <w:rsid w:val="00780CB5"/>
    <w:rsid w:val="00824921"/>
    <w:rsid w:val="00870672"/>
    <w:rsid w:val="008738D5"/>
    <w:rsid w:val="008C475B"/>
    <w:rsid w:val="008E0784"/>
    <w:rsid w:val="008F4AC3"/>
    <w:rsid w:val="0090300E"/>
    <w:rsid w:val="00917FA4"/>
    <w:rsid w:val="00953994"/>
    <w:rsid w:val="009611DE"/>
    <w:rsid w:val="009A1B18"/>
    <w:rsid w:val="009E4D68"/>
    <w:rsid w:val="00A57F24"/>
    <w:rsid w:val="00A8089C"/>
    <w:rsid w:val="00AF329A"/>
    <w:rsid w:val="00B247D5"/>
    <w:rsid w:val="00B433D6"/>
    <w:rsid w:val="00B46D56"/>
    <w:rsid w:val="00B80A77"/>
    <w:rsid w:val="00BC1316"/>
    <w:rsid w:val="00C52165"/>
    <w:rsid w:val="00CD7E7E"/>
    <w:rsid w:val="00CE664D"/>
    <w:rsid w:val="00CF6A00"/>
    <w:rsid w:val="00D279B4"/>
    <w:rsid w:val="00D3576E"/>
    <w:rsid w:val="00D558D8"/>
    <w:rsid w:val="00DF7B4B"/>
    <w:rsid w:val="00E16369"/>
    <w:rsid w:val="00E2646D"/>
    <w:rsid w:val="00E95AE9"/>
    <w:rsid w:val="00EC5E9B"/>
    <w:rsid w:val="00F22EF9"/>
    <w:rsid w:val="00FC2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2449B-F267-4579-83C7-FD5D89D8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30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3013"/>
    <w:rPr>
      <w:lang w:val="es-ES_tradnl"/>
    </w:rPr>
  </w:style>
  <w:style w:type="paragraph" w:styleId="Piedepgina">
    <w:name w:val="footer"/>
    <w:basedOn w:val="Normal"/>
    <w:link w:val="PiedepginaCar"/>
    <w:uiPriority w:val="99"/>
    <w:unhideWhenUsed/>
    <w:rsid w:val="003430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3013"/>
    <w:rPr>
      <w:lang w:val="es-ES_tradnl"/>
    </w:rPr>
  </w:style>
  <w:style w:type="character" w:styleId="Hipervnculo">
    <w:name w:val="Hyperlink"/>
    <w:basedOn w:val="Fuentedeprrafopredeter"/>
    <w:uiPriority w:val="99"/>
    <w:unhideWhenUsed/>
    <w:rsid w:val="004711AA"/>
    <w:rPr>
      <w:color w:val="0563C1" w:themeColor="hyperlink"/>
      <w:u w:val="single"/>
    </w:rPr>
  </w:style>
  <w:style w:type="paragraph" w:styleId="Prrafodelista">
    <w:name w:val="List Paragraph"/>
    <w:basedOn w:val="Normal"/>
    <w:uiPriority w:val="34"/>
    <w:qFormat/>
    <w:rsid w:val="00205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37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dr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1361</Words>
  <Characters>6874</Characters>
  <Application>Microsoft Office Word</Application>
  <DocSecurity>0</DocSecurity>
  <Lines>137</Lines>
  <Paragraphs>33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AGRELA SAINZ, M. SOLEDAD</dc:creator>
  <cp:keywords/>
  <dc:description/>
  <cp:lastModifiedBy>MARTIN-DUARTE ROSA, M GRACIA</cp:lastModifiedBy>
  <cp:revision>2</cp:revision>
  <cp:lastPrinted>2018-11-15T11:20:00Z</cp:lastPrinted>
  <dcterms:created xsi:type="dcterms:W3CDTF">2019-02-26T12:19:00Z</dcterms:created>
  <dcterms:modified xsi:type="dcterms:W3CDTF">2019-02-26T12:19:00Z</dcterms:modified>
</cp:coreProperties>
</file>